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15"/>
        <w:ind w:left="563" w:right="938" w:firstLine="0"/>
        <w:jc w:val="center"/>
        <w:rPr>
          <w:rFonts w:ascii="Arial" w:hAnsi="Arial"/>
          <w:b/>
          <w:sz w:val="40"/>
        </w:rPr>
      </w:pPr>
      <w:r>
        <w:rPr>
          <w:rFonts w:ascii="Arial" w:hAnsi="Arial"/>
          <w:b/>
          <w:sz w:val="40"/>
        </w:rPr>
        <w:t>MINISTÉRIO DA EDUCAÇÃO</w:t>
      </w:r>
    </w:p>
    <w:p>
      <w:pPr>
        <w:spacing w:before="231"/>
        <w:ind w:left="563" w:right="987" w:firstLine="0"/>
        <w:jc w:val="center"/>
        <w:rPr>
          <w:rFonts w:ascii="Cambria"/>
          <w:sz w:val="40"/>
        </w:rPr>
      </w:pPr>
      <w:r>
        <w:rPr>
          <w:rFonts w:ascii="Cambria"/>
          <w:sz w:val="40"/>
        </w:rPr>
        <w:t>UNIVERSIDADE FEDERAL RURAL DE PERNAMBUCO</w:t>
      </w:r>
    </w:p>
    <w:p>
      <w:pPr>
        <w:pStyle w:val="BodyText"/>
        <w:rPr>
          <w:rFonts w:ascii="Cambria"/>
          <w:sz w:val="46"/>
        </w:rPr>
      </w:pPr>
    </w:p>
    <w:p>
      <w:pPr>
        <w:pStyle w:val="BodyText"/>
        <w:rPr>
          <w:rFonts w:ascii="Cambria"/>
          <w:sz w:val="46"/>
        </w:rPr>
      </w:pPr>
    </w:p>
    <w:p>
      <w:pPr>
        <w:pStyle w:val="BodyText"/>
        <w:rPr>
          <w:rFonts w:ascii="Cambria"/>
          <w:sz w:val="46"/>
        </w:rPr>
      </w:pPr>
    </w:p>
    <w:p>
      <w:pPr>
        <w:pStyle w:val="BodyText"/>
        <w:rPr>
          <w:rFonts w:ascii="Cambria"/>
          <w:sz w:val="46"/>
        </w:rPr>
      </w:pPr>
    </w:p>
    <w:p>
      <w:pPr>
        <w:pStyle w:val="BodyText"/>
        <w:rPr>
          <w:rFonts w:ascii="Cambria"/>
          <w:sz w:val="46"/>
        </w:rPr>
      </w:pPr>
    </w:p>
    <w:p>
      <w:pPr>
        <w:pStyle w:val="BodyText"/>
        <w:rPr>
          <w:rFonts w:ascii="Cambria"/>
          <w:sz w:val="46"/>
        </w:rPr>
      </w:pPr>
    </w:p>
    <w:p>
      <w:pPr>
        <w:pStyle w:val="BodyText"/>
        <w:rPr>
          <w:rFonts w:ascii="Cambria"/>
          <w:sz w:val="46"/>
        </w:rPr>
      </w:pPr>
    </w:p>
    <w:p>
      <w:pPr>
        <w:pStyle w:val="BodyText"/>
        <w:spacing w:before="2"/>
        <w:rPr>
          <w:rFonts w:ascii="Cambria"/>
          <w:sz w:val="56"/>
        </w:rPr>
      </w:pPr>
    </w:p>
    <w:p>
      <w:pPr>
        <w:spacing w:line="276" w:lineRule="auto" w:before="0"/>
        <w:ind w:left="1437" w:right="1821" w:firstLine="0"/>
        <w:jc w:val="center"/>
        <w:rPr>
          <w:rFonts w:ascii="Cambria"/>
          <w:sz w:val="72"/>
        </w:rPr>
      </w:pPr>
      <w:r>
        <w:rPr>
          <w:rFonts w:ascii="Cambria"/>
          <w:sz w:val="72"/>
        </w:rPr>
        <w:t>Plano de Dados Abertos 2017-2018</w:t>
      </w: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11"/>
        <w:rPr>
          <w:rFonts w:ascii="Cambria"/>
          <w:sz w:val="26"/>
        </w:rPr>
      </w:pPr>
    </w:p>
    <w:p>
      <w:pPr>
        <w:spacing w:before="94"/>
        <w:ind w:left="580" w:right="0" w:firstLine="0"/>
        <w:jc w:val="left"/>
        <w:rPr>
          <w:sz w:val="16"/>
        </w:rPr>
      </w:pPr>
      <w:r>
        <w:rPr>
          <w:color w:val="0E233D"/>
          <w:sz w:val="16"/>
        </w:rPr>
        <w:t>Confere com o original assinado pela Reitora e arquivado nesta Secretaria Geral.</w:t>
      </w:r>
    </w:p>
    <w:p>
      <w:pPr>
        <w:spacing w:after="0"/>
        <w:jc w:val="left"/>
        <w:rPr>
          <w:sz w:val="16"/>
        </w:rPr>
        <w:sectPr>
          <w:headerReference w:type="default" r:id="rId5"/>
          <w:type w:val="continuous"/>
          <w:pgSz w:w="11910" w:h="16840"/>
          <w:pgMar w:header="895" w:top="1640" w:bottom="280" w:left="860" w:right="480"/>
        </w:sectPr>
      </w:pPr>
    </w:p>
    <w:p>
      <w:pPr>
        <w:pStyle w:val="BodyText"/>
        <w:spacing w:before="4"/>
        <w:rPr>
          <w:sz w:val="28"/>
        </w:rPr>
      </w:pPr>
    </w:p>
    <w:p>
      <w:pPr>
        <w:spacing w:before="90"/>
        <w:ind w:left="580" w:right="0" w:firstLine="0"/>
        <w:jc w:val="left"/>
        <w:rPr>
          <w:b/>
          <w:sz w:val="24"/>
        </w:rPr>
      </w:pPr>
      <w:r>
        <w:rPr>
          <w:b/>
          <w:sz w:val="24"/>
        </w:rPr>
        <w:t>DIRIGENTES</w:t>
      </w:r>
    </w:p>
    <w:p>
      <w:pPr>
        <w:pStyle w:val="BodyText"/>
        <w:spacing w:before="36"/>
        <w:ind w:left="580"/>
      </w:pPr>
      <w:r>
        <w:rPr>
          <w:color w:val="000009"/>
        </w:rPr>
        <w:t>MICHEL MIGUEL ELIAS TEMER LULIA</w:t>
      </w:r>
    </w:p>
    <w:p>
      <w:pPr>
        <w:pStyle w:val="BodyText"/>
        <w:spacing w:before="41"/>
        <w:ind w:left="580"/>
      </w:pPr>
      <w:r>
        <w:rPr/>
        <w:t>Presidente da República</w:t>
      </w:r>
    </w:p>
    <w:p>
      <w:pPr>
        <w:pStyle w:val="BodyText"/>
        <w:spacing w:before="3"/>
        <w:rPr>
          <w:sz w:val="31"/>
        </w:rPr>
      </w:pPr>
    </w:p>
    <w:p>
      <w:pPr>
        <w:pStyle w:val="BodyText"/>
        <w:ind w:left="580"/>
      </w:pPr>
      <w:r>
        <w:rPr/>
        <w:t>JOSÉ MENDONÇA BEZERRA FILHO</w:t>
      </w:r>
    </w:p>
    <w:p>
      <w:pPr>
        <w:pStyle w:val="BodyText"/>
        <w:spacing w:before="41"/>
        <w:ind w:left="580"/>
      </w:pPr>
      <w:r>
        <w:rPr/>
        <w:t>Ministro de Estado da Educação</w:t>
      </w:r>
    </w:p>
    <w:p>
      <w:pPr>
        <w:pStyle w:val="BodyText"/>
        <w:spacing w:before="1"/>
        <w:rPr>
          <w:sz w:val="31"/>
        </w:rPr>
      </w:pPr>
    </w:p>
    <w:p>
      <w:pPr>
        <w:pStyle w:val="BodyText"/>
        <w:ind w:left="580"/>
      </w:pPr>
      <w:r>
        <w:rPr/>
        <w:t>PAULO BARONE</w:t>
      </w:r>
    </w:p>
    <w:p>
      <w:pPr>
        <w:pStyle w:val="BodyText"/>
        <w:spacing w:before="44"/>
        <w:ind w:left="580"/>
      </w:pPr>
      <w:r>
        <w:rPr/>
        <w:t>Secretário de Educação Superior</w:t>
      </w:r>
    </w:p>
    <w:p>
      <w:pPr>
        <w:pStyle w:val="BodyText"/>
        <w:spacing w:before="1"/>
        <w:rPr>
          <w:sz w:val="31"/>
        </w:rPr>
      </w:pPr>
    </w:p>
    <w:p>
      <w:pPr>
        <w:pStyle w:val="BodyText"/>
        <w:spacing w:line="276" w:lineRule="auto"/>
        <w:ind w:left="580" w:right="4063"/>
      </w:pPr>
      <w:r>
        <w:rPr/>
        <w:t>UNIVERSIDADE FEDERAL RURAL DE PERNAMBUCO MARIA JOSÉ DE SENA</w:t>
      </w:r>
    </w:p>
    <w:p>
      <w:pPr>
        <w:pStyle w:val="BodyText"/>
        <w:spacing w:line="275" w:lineRule="exact"/>
        <w:ind w:left="580"/>
      </w:pPr>
      <w:r>
        <w:rPr/>
        <w:t>Reitora</w:t>
      </w:r>
    </w:p>
    <w:p>
      <w:pPr>
        <w:pStyle w:val="BodyText"/>
        <w:spacing w:before="3"/>
        <w:rPr>
          <w:sz w:val="31"/>
        </w:rPr>
      </w:pPr>
    </w:p>
    <w:p>
      <w:pPr>
        <w:pStyle w:val="BodyText"/>
        <w:spacing w:before="1"/>
        <w:ind w:left="580"/>
      </w:pPr>
      <w:r>
        <w:rPr/>
        <w:t>MARCELO BRITO CARNEIRO LEÃO</w:t>
      </w:r>
    </w:p>
    <w:p>
      <w:pPr>
        <w:pStyle w:val="BodyText"/>
        <w:spacing w:before="40"/>
        <w:ind w:left="580"/>
      </w:pPr>
      <w:r>
        <w:rPr/>
        <w:t>Vice-Reitor</w:t>
      </w:r>
    </w:p>
    <w:p>
      <w:pPr>
        <w:pStyle w:val="BodyText"/>
        <w:spacing w:before="4"/>
        <w:rPr>
          <w:sz w:val="31"/>
        </w:rPr>
      </w:pPr>
    </w:p>
    <w:p>
      <w:pPr>
        <w:pStyle w:val="BodyText"/>
        <w:ind w:left="580"/>
      </w:pPr>
      <w:r>
        <w:rPr/>
        <w:t>CLÁUDIA HELENA DEZOTTI</w:t>
      </w:r>
    </w:p>
    <w:p>
      <w:pPr>
        <w:pStyle w:val="BodyText"/>
        <w:spacing w:before="41"/>
        <w:ind w:left="580"/>
      </w:pPr>
      <w:r>
        <w:rPr/>
        <w:t>Chefe de Gabinete da Reitora</w:t>
      </w:r>
    </w:p>
    <w:p>
      <w:pPr>
        <w:pStyle w:val="BodyText"/>
        <w:spacing w:before="1"/>
        <w:rPr>
          <w:sz w:val="31"/>
        </w:rPr>
      </w:pPr>
    </w:p>
    <w:p>
      <w:pPr>
        <w:pStyle w:val="BodyText"/>
        <w:ind w:left="580"/>
      </w:pPr>
      <w:r>
        <w:rPr/>
        <w:t>MOZART ALEXANDRE MELO DE OLIVEIRA</w:t>
      </w:r>
    </w:p>
    <w:p>
      <w:pPr>
        <w:pStyle w:val="BodyText"/>
        <w:spacing w:before="44"/>
        <w:ind w:left="580"/>
      </w:pPr>
      <w:r>
        <w:rPr/>
        <w:t>Pró-Reitor de Administração</w:t>
      </w:r>
    </w:p>
    <w:p>
      <w:pPr>
        <w:pStyle w:val="BodyText"/>
        <w:spacing w:before="1"/>
        <w:rPr>
          <w:sz w:val="31"/>
        </w:rPr>
      </w:pPr>
    </w:p>
    <w:p>
      <w:pPr>
        <w:pStyle w:val="BodyText"/>
        <w:ind w:left="580"/>
      </w:pPr>
      <w:r>
        <w:rPr/>
        <w:t>ANA VIRGÍNIA MARINHO</w:t>
      </w:r>
    </w:p>
    <w:p>
      <w:pPr>
        <w:pStyle w:val="BodyText"/>
        <w:spacing w:before="41"/>
        <w:ind w:left="580"/>
      </w:pPr>
      <w:r>
        <w:rPr/>
        <w:t>Pró-Reitora de Atividades de Extensão</w:t>
      </w:r>
    </w:p>
    <w:p>
      <w:pPr>
        <w:pStyle w:val="BodyText"/>
        <w:spacing w:before="3"/>
        <w:rPr>
          <w:sz w:val="31"/>
        </w:rPr>
      </w:pPr>
    </w:p>
    <w:p>
      <w:pPr>
        <w:pStyle w:val="BodyText"/>
        <w:ind w:left="580"/>
      </w:pPr>
      <w:r>
        <w:rPr/>
        <w:t>MARIA DO SOCORRO DE LIMA OLIVEIRA</w:t>
      </w:r>
    </w:p>
    <w:p>
      <w:pPr>
        <w:pStyle w:val="BodyText"/>
        <w:spacing w:before="41"/>
        <w:ind w:left="580"/>
      </w:pPr>
      <w:r>
        <w:rPr/>
        <w:t>Pró-Reitora de Ensino de Graduação</w:t>
      </w:r>
    </w:p>
    <w:p>
      <w:pPr>
        <w:pStyle w:val="BodyText"/>
        <w:spacing w:before="4"/>
        <w:rPr>
          <w:sz w:val="31"/>
        </w:rPr>
      </w:pPr>
    </w:p>
    <w:p>
      <w:pPr>
        <w:pStyle w:val="BodyText"/>
        <w:ind w:left="580"/>
      </w:pPr>
      <w:r>
        <w:rPr/>
        <w:t>SEVERINO MENDES DE AZEVEDO JUNIOR</w:t>
      </w:r>
    </w:p>
    <w:p>
      <w:pPr>
        <w:pStyle w:val="BodyText"/>
        <w:spacing w:before="41"/>
        <w:ind w:left="580"/>
      </w:pPr>
      <w:r>
        <w:rPr/>
        <w:t>Pró-Reitor de Gestão Estudantil</w:t>
      </w:r>
    </w:p>
    <w:p>
      <w:pPr>
        <w:pStyle w:val="BodyText"/>
        <w:spacing w:before="1"/>
        <w:rPr>
          <w:sz w:val="31"/>
        </w:rPr>
      </w:pPr>
    </w:p>
    <w:p>
      <w:pPr>
        <w:pStyle w:val="BodyText"/>
        <w:ind w:left="580"/>
      </w:pPr>
      <w:r>
        <w:rPr/>
        <w:t>MARIA MADALENA PESSOA GUERRA</w:t>
      </w:r>
    </w:p>
    <w:p>
      <w:pPr>
        <w:pStyle w:val="BodyText"/>
        <w:spacing w:before="43"/>
        <w:ind w:left="580"/>
      </w:pPr>
      <w:r>
        <w:rPr>
          <w:color w:val="000009"/>
        </w:rPr>
        <w:t>Pró-Reitora </w:t>
      </w:r>
      <w:r>
        <w:rPr/>
        <w:t>de Pesquisa e Pós-Graduação</w:t>
      </w:r>
    </w:p>
    <w:p>
      <w:pPr>
        <w:pStyle w:val="BodyText"/>
        <w:spacing w:before="1"/>
        <w:rPr>
          <w:sz w:val="31"/>
        </w:rPr>
      </w:pPr>
    </w:p>
    <w:p>
      <w:pPr>
        <w:pStyle w:val="BodyText"/>
        <w:ind w:left="580"/>
      </w:pPr>
      <w:r>
        <w:rPr/>
        <w:t>CAROLINA GUIMARÃES RAPOSO</w:t>
      </w:r>
    </w:p>
    <w:p>
      <w:pPr>
        <w:pStyle w:val="BodyText"/>
        <w:spacing w:before="41"/>
        <w:ind w:left="580"/>
      </w:pPr>
      <w:r>
        <w:rPr/>
        <w:t>Pró-Reitora de Planejamento e Desenvolvimento Institucional</w:t>
      </w:r>
    </w:p>
    <w:p>
      <w:pPr>
        <w:spacing w:after="0"/>
        <w:sectPr>
          <w:headerReference w:type="default" r:id="rId6"/>
          <w:footerReference w:type="default" r:id="rId7"/>
          <w:pgSz w:w="11910" w:h="16840"/>
          <w:pgMar w:header="763" w:footer="488" w:top="1640" w:bottom="680" w:left="860" w:right="480"/>
        </w:sectPr>
      </w:pPr>
    </w:p>
    <w:p>
      <w:pPr>
        <w:pStyle w:val="BodyText"/>
        <w:spacing w:before="6"/>
      </w:pPr>
    </w:p>
    <w:p>
      <w:pPr>
        <w:spacing w:before="90"/>
        <w:ind w:left="580" w:right="0" w:firstLine="0"/>
        <w:jc w:val="left"/>
        <w:rPr>
          <w:b/>
          <w:sz w:val="24"/>
        </w:rPr>
      </w:pPr>
      <w:r>
        <w:rPr>
          <w:b/>
          <w:color w:val="000009"/>
          <w:sz w:val="24"/>
        </w:rPr>
        <w:t>GRUPO DE TRABALHO – GT PDA/UFRPE</w:t>
      </w:r>
    </w:p>
    <w:p>
      <w:pPr>
        <w:spacing w:line="276" w:lineRule="auto" w:before="44"/>
        <w:ind w:left="580" w:right="1635" w:firstLine="0"/>
        <w:jc w:val="left"/>
        <w:rPr>
          <w:b/>
          <w:sz w:val="24"/>
        </w:rPr>
      </w:pPr>
      <w:r>
        <w:rPr>
          <w:b/>
          <w:color w:val="000009"/>
          <w:sz w:val="24"/>
        </w:rPr>
        <w:t>RESPONSÁVEL PELA ELABORAÇÃO DA MINUTA DO PLANO DE DADOS ABERTOS</w:t>
      </w:r>
    </w:p>
    <w:p>
      <w:pPr>
        <w:pStyle w:val="BodyText"/>
        <w:rPr>
          <w:b/>
          <w:sz w:val="27"/>
        </w:rPr>
      </w:pPr>
    </w:p>
    <w:p>
      <w:pPr>
        <w:pStyle w:val="BodyText"/>
        <w:ind w:left="580"/>
      </w:pPr>
      <w:r>
        <w:rPr>
          <w:color w:val="000009"/>
          <w:u w:val="single" w:color="000009"/>
        </w:rPr>
        <w:t>Presidente:</w:t>
      </w:r>
    </w:p>
    <w:p>
      <w:pPr>
        <w:pStyle w:val="BodyText"/>
        <w:spacing w:before="43"/>
        <w:ind w:left="580"/>
      </w:pPr>
      <w:r>
        <w:rPr>
          <w:color w:val="000009"/>
        </w:rPr>
        <w:t>VANILSON ANDRÉ DE ARRUDA BURÉGIO</w:t>
      </w:r>
    </w:p>
    <w:p>
      <w:pPr>
        <w:pStyle w:val="BodyText"/>
        <w:spacing w:before="41"/>
        <w:ind w:left="580"/>
      </w:pPr>
      <w:r>
        <w:rPr>
          <w:color w:val="000009"/>
        </w:rPr>
        <w:t>Departamento de Estatística e Informática</w:t>
      </w:r>
    </w:p>
    <w:p>
      <w:pPr>
        <w:pStyle w:val="BodyText"/>
        <w:spacing w:before="2"/>
        <w:rPr>
          <w:sz w:val="31"/>
        </w:rPr>
      </w:pPr>
    </w:p>
    <w:p>
      <w:pPr>
        <w:pStyle w:val="BodyText"/>
        <w:ind w:left="580"/>
      </w:pPr>
      <w:r>
        <w:rPr>
          <w:color w:val="000009"/>
          <w:u w:val="single" w:color="000009"/>
        </w:rPr>
        <w:t>Membros:</w:t>
      </w:r>
    </w:p>
    <w:p>
      <w:pPr>
        <w:pStyle w:val="BodyText"/>
        <w:spacing w:before="43"/>
        <w:ind w:left="580"/>
      </w:pPr>
      <w:r>
        <w:rPr>
          <w:color w:val="000009"/>
        </w:rPr>
        <w:t>ANA VIRGÍNIA MARINHO SILVEIRA</w:t>
      </w:r>
    </w:p>
    <w:p>
      <w:pPr>
        <w:pStyle w:val="BodyText"/>
        <w:spacing w:before="41"/>
        <w:ind w:left="580"/>
      </w:pPr>
      <w:r>
        <w:rPr>
          <w:color w:val="000009"/>
        </w:rPr>
        <w:t>Pró-reitoria de </w:t>
      </w:r>
      <w:r>
        <w:rPr/>
        <w:t>Atividades</w:t>
      </w:r>
      <w:r>
        <w:rPr>
          <w:color w:val="000009"/>
        </w:rPr>
        <w:t>de Extensão</w:t>
      </w:r>
    </w:p>
    <w:p>
      <w:pPr>
        <w:pStyle w:val="BodyText"/>
        <w:spacing w:before="1"/>
        <w:rPr>
          <w:sz w:val="31"/>
        </w:rPr>
      </w:pPr>
    </w:p>
    <w:p>
      <w:pPr>
        <w:pStyle w:val="BodyText"/>
        <w:ind w:left="580"/>
      </w:pPr>
      <w:r>
        <w:rPr>
          <w:color w:val="000009"/>
        </w:rPr>
        <w:t>ENERY GISLAYNE DE SOUSA MELO</w:t>
      </w:r>
    </w:p>
    <w:p>
      <w:pPr>
        <w:pStyle w:val="BodyText"/>
        <w:spacing w:before="41"/>
        <w:ind w:left="580"/>
      </w:pPr>
      <w:r>
        <w:rPr>
          <w:color w:val="000009"/>
        </w:rPr>
        <w:t>Pró-reitoria de Planejamento e Desenvolvimento </w:t>
      </w:r>
      <w:r>
        <w:rPr/>
        <w:t>Institucional</w:t>
      </w:r>
    </w:p>
    <w:p>
      <w:pPr>
        <w:pStyle w:val="BodyText"/>
        <w:spacing w:before="3"/>
        <w:rPr>
          <w:sz w:val="31"/>
        </w:rPr>
      </w:pPr>
    </w:p>
    <w:p>
      <w:pPr>
        <w:pStyle w:val="BodyText"/>
        <w:ind w:left="580"/>
      </w:pPr>
      <w:r>
        <w:rPr>
          <w:color w:val="000009"/>
        </w:rPr>
        <w:t>JOSE RODRIGUES LEMOS</w:t>
      </w:r>
    </w:p>
    <w:p>
      <w:pPr>
        <w:pStyle w:val="BodyText"/>
        <w:spacing w:before="41"/>
        <w:ind w:left="580"/>
      </w:pPr>
      <w:r>
        <w:rPr>
          <w:color w:val="000009"/>
        </w:rPr>
        <w:t>Serviço de Informação ao Cidadão</w:t>
      </w:r>
    </w:p>
    <w:p>
      <w:pPr>
        <w:pStyle w:val="BodyText"/>
        <w:spacing w:before="4"/>
        <w:rPr>
          <w:sz w:val="31"/>
        </w:rPr>
      </w:pPr>
    </w:p>
    <w:p>
      <w:pPr>
        <w:pStyle w:val="BodyText"/>
        <w:ind w:left="580"/>
      </w:pPr>
      <w:r>
        <w:rPr>
          <w:color w:val="000009"/>
        </w:rPr>
        <w:t>KELLYTON DOS SANTOS BRITO</w:t>
      </w:r>
    </w:p>
    <w:p>
      <w:pPr>
        <w:pStyle w:val="BodyText"/>
        <w:spacing w:before="41"/>
        <w:ind w:left="580"/>
      </w:pPr>
      <w:r>
        <w:rPr>
          <w:color w:val="000009"/>
        </w:rPr>
        <w:t>Departamento de Estatística e Informática</w:t>
      </w:r>
    </w:p>
    <w:p>
      <w:pPr>
        <w:pStyle w:val="BodyText"/>
        <w:spacing w:before="1"/>
        <w:rPr>
          <w:sz w:val="31"/>
        </w:rPr>
      </w:pPr>
    </w:p>
    <w:p>
      <w:pPr>
        <w:pStyle w:val="BodyText"/>
        <w:ind w:left="580"/>
      </w:pPr>
      <w:r>
        <w:rPr>
          <w:color w:val="000009"/>
        </w:rPr>
        <w:t>PABYTON GONÇALVES CADENA</w:t>
      </w:r>
    </w:p>
    <w:p>
      <w:pPr>
        <w:pStyle w:val="BodyText"/>
        <w:spacing w:before="43"/>
        <w:ind w:left="580"/>
      </w:pPr>
      <w:r>
        <w:rPr>
          <w:color w:val="000009"/>
        </w:rPr>
        <w:t>Núcleo de Inovação Tecnológica</w:t>
      </w:r>
    </w:p>
    <w:p>
      <w:pPr>
        <w:spacing w:after="0"/>
        <w:sectPr>
          <w:pgSz w:w="11910" w:h="16840"/>
          <w:pgMar w:header="763" w:footer="488" w:top="1640" w:bottom="680" w:left="860" w:right="480"/>
        </w:sectPr>
      </w:pPr>
    </w:p>
    <w:p>
      <w:pPr>
        <w:pStyle w:val="BodyText"/>
        <w:spacing w:before="89"/>
        <w:ind w:left="152"/>
      </w:pPr>
      <w:r>
        <w:rPr/>
        <w:t>Histórico de Revisões</w:t>
      </w:r>
    </w:p>
    <w:p>
      <w:pPr>
        <w:pStyle w:val="BodyText"/>
        <w:spacing w:before="5" w:after="1"/>
        <w:rPr>
          <w:sz w:val="2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1620"/>
        <w:gridCol w:w="5040"/>
        <w:gridCol w:w="2039"/>
      </w:tblGrid>
      <w:tr>
        <w:trPr>
          <w:trHeight w:val="1019" w:hRule="atLeast"/>
        </w:trPr>
        <w:tc>
          <w:tcPr>
            <w:tcW w:w="1637" w:type="dxa"/>
            <w:shd w:val="clear" w:color="auto" w:fill="D9E1F3"/>
          </w:tcPr>
          <w:p>
            <w:pPr>
              <w:pStyle w:val="TableParagraph"/>
              <w:spacing w:line="268" w:lineRule="exact"/>
              <w:ind w:left="95"/>
              <w:rPr>
                <w:sz w:val="24"/>
              </w:rPr>
            </w:pPr>
            <w:r>
              <w:rPr>
                <w:sz w:val="24"/>
              </w:rPr>
              <w:t>Data</w:t>
            </w:r>
          </w:p>
        </w:tc>
        <w:tc>
          <w:tcPr>
            <w:tcW w:w="1620" w:type="dxa"/>
            <w:shd w:val="clear" w:color="auto" w:fill="D9E1F3"/>
          </w:tcPr>
          <w:p>
            <w:pPr>
              <w:pStyle w:val="TableParagraph"/>
              <w:spacing w:line="268" w:lineRule="exact"/>
              <w:ind w:left="98"/>
              <w:rPr>
                <w:sz w:val="24"/>
              </w:rPr>
            </w:pPr>
            <w:r>
              <w:rPr>
                <w:sz w:val="24"/>
              </w:rPr>
              <w:t>Revisão</w:t>
            </w:r>
          </w:p>
        </w:tc>
        <w:tc>
          <w:tcPr>
            <w:tcW w:w="5040" w:type="dxa"/>
            <w:shd w:val="clear" w:color="auto" w:fill="D9E1F3"/>
          </w:tcPr>
          <w:p>
            <w:pPr>
              <w:pStyle w:val="TableParagraph"/>
              <w:spacing w:line="268" w:lineRule="exact"/>
              <w:ind w:left="99"/>
              <w:rPr>
                <w:sz w:val="24"/>
              </w:rPr>
            </w:pPr>
            <w:r>
              <w:rPr>
                <w:sz w:val="24"/>
              </w:rPr>
              <w:t>Descrição</w:t>
            </w:r>
          </w:p>
        </w:tc>
        <w:tc>
          <w:tcPr>
            <w:tcW w:w="2039" w:type="dxa"/>
            <w:shd w:val="clear" w:color="auto" w:fill="D9E1F3"/>
          </w:tcPr>
          <w:p>
            <w:pPr>
              <w:pStyle w:val="TableParagraph"/>
              <w:spacing w:line="268" w:lineRule="exact"/>
              <w:ind w:left="100"/>
              <w:rPr>
                <w:sz w:val="24"/>
              </w:rPr>
            </w:pPr>
            <w:r>
              <w:rPr>
                <w:sz w:val="24"/>
              </w:rPr>
              <w:t>Autores</w:t>
            </w:r>
          </w:p>
        </w:tc>
      </w:tr>
      <w:tr>
        <w:trPr>
          <w:trHeight w:val="1021" w:hRule="atLeast"/>
        </w:trPr>
        <w:tc>
          <w:tcPr>
            <w:tcW w:w="1637" w:type="dxa"/>
          </w:tcPr>
          <w:p>
            <w:pPr>
              <w:pStyle w:val="TableParagraph"/>
              <w:spacing w:line="268" w:lineRule="exact"/>
              <w:ind w:left="95"/>
              <w:rPr>
                <w:sz w:val="24"/>
              </w:rPr>
            </w:pPr>
            <w:r>
              <w:rPr>
                <w:sz w:val="24"/>
              </w:rPr>
              <w:t>18/10/2016</w:t>
            </w:r>
          </w:p>
        </w:tc>
        <w:tc>
          <w:tcPr>
            <w:tcW w:w="1620" w:type="dxa"/>
          </w:tcPr>
          <w:p>
            <w:pPr>
              <w:pStyle w:val="TableParagraph"/>
              <w:spacing w:line="268" w:lineRule="exact"/>
              <w:ind w:left="98"/>
              <w:rPr>
                <w:sz w:val="24"/>
              </w:rPr>
            </w:pPr>
            <w:r>
              <w:rPr>
                <w:sz w:val="24"/>
              </w:rPr>
              <w:t>00.01</w:t>
            </w:r>
          </w:p>
        </w:tc>
        <w:tc>
          <w:tcPr>
            <w:tcW w:w="5040" w:type="dxa"/>
          </w:tcPr>
          <w:p>
            <w:pPr>
              <w:pStyle w:val="TableParagraph"/>
              <w:ind w:left="99" w:right="181"/>
              <w:rPr>
                <w:sz w:val="24"/>
              </w:rPr>
            </w:pPr>
            <w:r>
              <w:rPr>
                <w:sz w:val="24"/>
              </w:rPr>
              <w:t>Versão inicial contendo estrutura de Seções definida</w:t>
            </w:r>
            <w:r>
              <w:rPr>
                <w:spacing w:val="-20"/>
                <w:sz w:val="24"/>
              </w:rPr>
              <w:t> </w:t>
            </w:r>
            <w:r>
              <w:rPr>
                <w:sz w:val="24"/>
              </w:rPr>
              <w:t>pelo</w:t>
            </w:r>
            <w:r>
              <w:rPr>
                <w:spacing w:val="-19"/>
                <w:sz w:val="24"/>
              </w:rPr>
              <w:t> </w:t>
            </w:r>
            <w:r>
              <w:rPr>
                <w:sz w:val="24"/>
              </w:rPr>
              <w:t>―Grupo</w:t>
            </w:r>
            <w:r>
              <w:rPr>
                <w:spacing w:val="-20"/>
                <w:sz w:val="24"/>
              </w:rPr>
              <w:t> </w:t>
            </w:r>
            <w:r>
              <w:rPr>
                <w:sz w:val="24"/>
              </w:rPr>
              <w:t>de</w:t>
            </w:r>
            <w:r>
              <w:rPr>
                <w:spacing w:val="-20"/>
                <w:sz w:val="24"/>
              </w:rPr>
              <w:t> </w:t>
            </w:r>
            <w:r>
              <w:rPr>
                <w:sz w:val="24"/>
              </w:rPr>
              <w:t>trabalho</w:t>
            </w:r>
            <w:r>
              <w:rPr>
                <w:spacing w:val="-19"/>
                <w:sz w:val="24"/>
              </w:rPr>
              <w:t> </w:t>
            </w:r>
            <w:r>
              <w:rPr>
                <w:sz w:val="24"/>
              </w:rPr>
              <w:t>para</w:t>
            </w:r>
            <w:r>
              <w:rPr>
                <w:spacing w:val="-20"/>
                <w:sz w:val="24"/>
              </w:rPr>
              <w:t> </w:t>
            </w:r>
            <w:r>
              <w:rPr>
                <w:spacing w:val="-3"/>
                <w:sz w:val="24"/>
              </w:rPr>
              <w:t>elaboração </w:t>
            </w:r>
            <w:r>
              <w:rPr>
                <w:sz w:val="24"/>
              </w:rPr>
              <w:t>do plano de dados abertos da</w:t>
            </w:r>
            <w:r>
              <w:rPr>
                <w:spacing w:val="5"/>
                <w:sz w:val="24"/>
              </w:rPr>
              <w:t> </w:t>
            </w:r>
            <w:r>
              <w:rPr>
                <w:sz w:val="24"/>
              </w:rPr>
              <w:t>UFRPE‖</w:t>
            </w:r>
          </w:p>
        </w:tc>
        <w:tc>
          <w:tcPr>
            <w:tcW w:w="2039" w:type="dxa"/>
          </w:tcPr>
          <w:p>
            <w:pPr>
              <w:pStyle w:val="TableParagraph"/>
              <w:spacing w:line="268" w:lineRule="exact"/>
              <w:ind w:left="100"/>
              <w:rPr>
                <w:sz w:val="24"/>
              </w:rPr>
            </w:pPr>
            <w:r>
              <w:rPr>
                <w:sz w:val="24"/>
              </w:rPr>
              <w:t>Énery Melo</w:t>
            </w:r>
          </w:p>
        </w:tc>
      </w:tr>
      <w:tr>
        <w:trPr>
          <w:trHeight w:val="1104" w:hRule="atLeast"/>
        </w:trPr>
        <w:tc>
          <w:tcPr>
            <w:tcW w:w="1637" w:type="dxa"/>
          </w:tcPr>
          <w:p>
            <w:pPr>
              <w:pStyle w:val="TableParagraph"/>
              <w:spacing w:line="268" w:lineRule="exact"/>
              <w:ind w:left="95"/>
              <w:rPr>
                <w:sz w:val="24"/>
              </w:rPr>
            </w:pPr>
            <w:r>
              <w:rPr>
                <w:sz w:val="24"/>
              </w:rPr>
              <w:t>25/10/2016</w:t>
            </w:r>
          </w:p>
        </w:tc>
        <w:tc>
          <w:tcPr>
            <w:tcW w:w="1620" w:type="dxa"/>
          </w:tcPr>
          <w:p>
            <w:pPr>
              <w:pStyle w:val="TableParagraph"/>
              <w:spacing w:line="268" w:lineRule="exact"/>
              <w:ind w:left="98"/>
              <w:rPr>
                <w:sz w:val="24"/>
              </w:rPr>
            </w:pPr>
            <w:r>
              <w:rPr>
                <w:sz w:val="24"/>
              </w:rPr>
              <w:t>00.02</w:t>
            </w:r>
          </w:p>
        </w:tc>
        <w:tc>
          <w:tcPr>
            <w:tcW w:w="5040" w:type="dxa"/>
          </w:tcPr>
          <w:p>
            <w:pPr>
              <w:pStyle w:val="TableParagraph"/>
              <w:ind w:left="99" w:right="132"/>
              <w:rPr>
                <w:sz w:val="24"/>
              </w:rPr>
            </w:pPr>
            <w:r>
              <w:rPr>
                <w:sz w:val="24"/>
              </w:rPr>
              <w:t>Versão com conteúdo inicial das Seções 1, 2, 3, 6 e Glossãrio</w:t>
            </w:r>
          </w:p>
        </w:tc>
        <w:tc>
          <w:tcPr>
            <w:tcW w:w="2039" w:type="dxa"/>
          </w:tcPr>
          <w:p>
            <w:pPr>
              <w:pStyle w:val="TableParagraph"/>
              <w:ind w:left="100" w:right="209"/>
              <w:rPr>
                <w:sz w:val="24"/>
              </w:rPr>
            </w:pPr>
            <w:r>
              <w:rPr>
                <w:sz w:val="24"/>
              </w:rPr>
              <w:t>Énery Melo Vanilson Burégio</w:t>
            </w:r>
          </w:p>
          <w:p>
            <w:pPr>
              <w:pStyle w:val="TableParagraph"/>
              <w:spacing w:line="270" w:lineRule="atLeast"/>
              <w:ind w:left="100" w:right="449"/>
              <w:rPr>
                <w:sz w:val="24"/>
              </w:rPr>
            </w:pPr>
            <w:r>
              <w:rPr>
                <w:sz w:val="24"/>
              </w:rPr>
              <w:t>José Rodrigues Kellyton Brito</w:t>
            </w:r>
          </w:p>
        </w:tc>
      </w:tr>
      <w:tr>
        <w:trPr>
          <w:trHeight w:val="1655" w:hRule="atLeast"/>
        </w:trPr>
        <w:tc>
          <w:tcPr>
            <w:tcW w:w="1637" w:type="dxa"/>
          </w:tcPr>
          <w:p>
            <w:pPr>
              <w:pStyle w:val="TableParagraph"/>
              <w:spacing w:line="268" w:lineRule="exact"/>
              <w:ind w:left="95"/>
              <w:rPr>
                <w:sz w:val="24"/>
              </w:rPr>
            </w:pPr>
            <w:r>
              <w:rPr>
                <w:sz w:val="24"/>
              </w:rPr>
              <w:t>01/11/2016</w:t>
            </w:r>
          </w:p>
        </w:tc>
        <w:tc>
          <w:tcPr>
            <w:tcW w:w="1620" w:type="dxa"/>
          </w:tcPr>
          <w:p>
            <w:pPr>
              <w:pStyle w:val="TableParagraph"/>
              <w:spacing w:line="268" w:lineRule="exact"/>
              <w:ind w:left="98"/>
              <w:rPr>
                <w:sz w:val="24"/>
              </w:rPr>
            </w:pPr>
            <w:r>
              <w:rPr>
                <w:sz w:val="24"/>
              </w:rPr>
              <w:t>00.03</w:t>
            </w:r>
          </w:p>
        </w:tc>
        <w:tc>
          <w:tcPr>
            <w:tcW w:w="5040" w:type="dxa"/>
          </w:tcPr>
          <w:p>
            <w:pPr>
              <w:pStyle w:val="TableParagraph"/>
              <w:ind w:left="99" w:right="25"/>
              <w:rPr>
                <w:sz w:val="24"/>
              </w:rPr>
            </w:pPr>
            <w:r>
              <w:rPr>
                <w:sz w:val="24"/>
              </w:rPr>
              <w:t>Adição e ajustes no conteúdo das Seções 2, 4, 5, 6 e 7, e de</w:t>
            </w:r>
          </w:p>
          <w:p>
            <w:pPr>
              <w:pStyle w:val="TableParagraph"/>
              <w:spacing w:line="270" w:lineRule="atLeast"/>
              <w:ind w:left="99"/>
              <w:rPr>
                <w:sz w:val="24"/>
              </w:rPr>
            </w:pPr>
            <w:r>
              <w:rPr>
                <w:sz w:val="24"/>
              </w:rPr>
              <w:t>mais alterações no documento de acordo com decisões tomadas em reunião do comitê responsável pela minuta do PDA, no dia 25/10/2016.</w:t>
            </w:r>
          </w:p>
        </w:tc>
        <w:tc>
          <w:tcPr>
            <w:tcW w:w="2039" w:type="dxa"/>
          </w:tcPr>
          <w:p>
            <w:pPr>
              <w:pStyle w:val="TableParagraph"/>
              <w:ind w:left="100" w:right="209"/>
              <w:rPr>
                <w:sz w:val="24"/>
              </w:rPr>
            </w:pPr>
            <w:r>
              <w:rPr>
                <w:sz w:val="24"/>
              </w:rPr>
              <w:t>Énery Melo Vanilson Burégio José Rodrigues Kellyton Brito</w:t>
            </w:r>
          </w:p>
        </w:tc>
      </w:tr>
      <w:tr>
        <w:trPr>
          <w:trHeight w:val="1103" w:hRule="atLeast"/>
        </w:trPr>
        <w:tc>
          <w:tcPr>
            <w:tcW w:w="1637" w:type="dxa"/>
          </w:tcPr>
          <w:p>
            <w:pPr>
              <w:pStyle w:val="TableParagraph"/>
              <w:spacing w:line="267" w:lineRule="exact"/>
              <w:ind w:left="95"/>
              <w:rPr>
                <w:sz w:val="24"/>
              </w:rPr>
            </w:pPr>
            <w:r>
              <w:rPr>
                <w:sz w:val="24"/>
              </w:rPr>
              <w:t>08/11/2016</w:t>
            </w:r>
          </w:p>
        </w:tc>
        <w:tc>
          <w:tcPr>
            <w:tcW w:w="1620" w:type="dxa"/>
          </w:tcPr>
          <w:p>
            <w:pPr>
              <w:pStyle w:val="TableParagraph"/>
              <w:spacing w:line="267" w:lineRule="exact"/>
              <w:ind w:left="98"/>
              <w:rPr>
                <w:sz w:val="24"/>
              </w:rPr>
            </w:pPr>
            <w:r>
              <w:rPr>
                <w:sz w:val="24"/>
              </w:rPr>
              <w:t>00.04</w:t>
            </w:r>
          </w:p>
        </w:tc>
        <w:tc>
          <w:tcPr>
            <w:tcW w:w="5040" w:type="dxa"/>
          </w:tcPr>
          <w:p>
            <w:pPr>
              <w:pStyle w:val="TableParagraph"/>
              <w:ind w:left="99"/>
              <w:rPr>
                <w:sz w:val="24"/>
              </w:rPr>
            </w:pPr>
            <w:r>
              <w:rPr>
                <w:sz w:val="24"/>
              </w:rPr>
              <w:t>Adição e ajustes no documento de acordo com decisões tomadas em reunião do grupo de</w:t>
            </w:r>
          </w:p>
          <w:p>
            <w:pPr>
              <w:pStyle w:val="TableParagraph"/>
              <w:spacing w:line="270" w:lineRule="atLeast"/>
              <w:ind w:left="99" w:right="132"/>
              <w:rPr>
                <w:sz w:val="24"/>
              </w:rPr>
            </w:pPr>
            <w:r>
              <w:rPr>
                <w:sz w:val="24"/>
              </w:rPr>
              <w:t>trabalho, responsável pela minuta do PDA, no dia 01/11/2016.</w:t>
            </w:r>
          </w:p>
        </w:tc>
        <w:tc>
          <w:tcPr>
            <w:tcW w:w="2039" w:type="dxa"/>
          </w:tcPr>
          <w:p>
            <w:pPr>
              <w:pStyle w:val="TableParagraph"/>
              <w:ind w:left="100" w:right="209"/>
              <w:rPr>
                <w:sz w:val="24"/>
              </w:rPr>
            </w:pPr>
            <w:r>
              <w:rPr>
                <w:sz w:val="24"/>
              </w:rPr>
              <w:t>Énery Melo Vanilson Burégio</w:t>
            </w:r>
          </w:p>
          <w:p>
            <w:pPr>
              <w:pStyle w:val="TableParagraph"/>
              <w:spacing w:line="270" w:lineRule="atLeast"/>
              <w:ind w:left="100" w:right="449"/>
              <w:rPr>
                <w:sz w:val="24"/>
              </w:rPr>
            </w:pPr>
            <w:r>
              <w:rPr>
                <w:sz w:val="24"/>
              </w:rPr>
              <w:t>José Rodrigues Kellyton Brito</w:t>
            </w:r>
          </w:p>
        </w:tc>
      </w:tr>
      <w:tr>
        <w:trPr>
          <w:trHeight w:val="988" w:hRule="atLeast"/>
        </w:trPr>
        <w:tc>
          <w:tcPr>
            <w:tcW w:w="1637" w:type="dxa"/>
          </w:tcPr>
          <w:p>
            <w:pPr>
              <w:pStyle w:val="TableParagraph"/>
              <w:spacing w:line="268" w:lineRule="exact"/>
              <w:ind w:left="95"/>
              <w:rPr>
                <w:sz w:val="24"/>
              </w:rPr>
            </w:pPr>
            <w:r>
              <w:rPr>
                <w:sz w:val="24"/>
              </w:rPr>
              <w:t>29/11/2016</w:t>
            </w:r>
          </w:p>
        </w:tc>
        <w:tc>
          <w:tcPr>
            <w:tcW w:w="1620" w:type="dxa"/>
          </w:tcPr>
          <w:p>
            <w:pPr>
              <w:pStyle w:val="TableParagraph"/>
              <w:spacing w:line="268" w:lineRule="exact"/>
              <w:ind w:left="98"/>
              <w:rPr>
                <w:sz w:val="24"/>
              </w:rPr>
            </w:pPr>
            <w:r>
              <w:rPr>
                <w:sz w:val="24"/>
              </w:rPr>
              <w:t>00.05</w:t>
            </w:r>
          </w:p>
        </w:tc>
        <w:tc>
          <w:tcPr>
            <w:tcW w:w="5040" w:type="dxa"/>
          </w:tcPr>
          <w:p>
            <w:pPr>
              <w:pStyle w:val="TableParagraph"/>
              <w:ind w:left="99" w:right="78"/>
              <w:rPr>
                <w:sz w:val="24"/>
              </w:rPr>
            </w:pPr>
            <w:r>
              <w:rPr>
                <w:sz w:val="24"/>
              </w:rPr>
              <w:t>Ajustes no conteúdo do documento como um todo para geração de versão candidata da minuta.</w:t>
            </w:r>
          </w:p>
        </w:tc>
        <w:tc>
          <w:tcPr>
            <w:tcW w:w="2039" w:type="dxa"/>
          </w:tcPr>
          <w:p>
            <w:pPr>
              <w:pStyle w:val="TableParagraph"/>
              <w:spacing w:line="268" w:lineRule="exact"/>
              <w:ind w:left="100"/>
              <w:rPr>
                <w:sz w:val="24"/>
              </w:rPr>
            </w:pPr>
            <w:r>
              <w:rPr>
                <w:sz w:val="24"/>
              </w:rPr>
              <w:t>Vanilson Burégio</w:t>
            </w:r>
          </w:p>
        </w:tc>
      </w:tr>
      <w:tr>
        <w:trPr>
          <w:trHeight w:val="988" w:hRule="atLeast"/>
        </w:trPr>
        <w:tc>
          <w:tcPr>
            <w:tcW w:w="1637" w:type="dxa"/>
          </w:tcPr>
          <w:p>
            <w:pPr>
              <w:pStyle w:val="TableParagraph"/>
              <w:spacing w:line="268" w:lineRule="exact"/>
              <w:ind w:left="95"/>
              <w:rPr>
                <w:sz w:val="24"/>
              </w:rPr>
            </w:pPr>
            <w:r>
              <w:rPr>
                <w:sz w:val="24"/>
              </w:rPr>
              <w:t>07/12/2016</w:t>
            </w:r>
          </w:p>
        </w:tc>
        <w:tc>
          <w:tcPr>
            <w:tcW w:w="1620" w:type="dxa"/>
          </w:tcPr>
          <w:p>
            <w:pPr>
              <w:pStyle w:val="TableParagraph"/>
              <w:spacing w:line="268" w:lineRule="exact"/>
              <w:ind w:left="98"/>
              <w:rPr>
                <w:sz w:val="24"/>
              </w:rPr>
            </w:pPr>
            <w:r>
              <w:rPr>
                <w:sz w:val="24"/>
              </w:rPr>
              <w:t>00.06</w:t>
            </w:r>
          </w:p>
        </w:tc>
        <w:tc>
          <w:tcPr>
            <w:tcW w:w="5040" w:type="dxa"/>
          </w:tcPr>
          <w:p>
            <w:pPr>
              <w:pStyle w:val="TableParagraph"/>
              <w:spacing w:line="268" w:lineRule="exact"/>
              <w:ind w:left="99"/>
              <w:rPr>
                <w:sz w:val="24"/>
              </w:rPr>
            </w:pPr>
            <w:r>
              <w:rPr>
                <w:sz w:val="24"/>
              </w:rPr>
              <w:t>Ajustes após revisão do grupo de trabalho.</w:t>
            </w:r>
          </w:p>
        </w:tc>
        <w:tc>
          <w:tcPr>
            <w:tcW w:w="2039" w:type="dxa"/>
          </w:tcPr>
          <w:p>
            <w:pPr>
              <w:pStyle w:val="TableParagraph"/>
              <w:ind w:left="100" w:right="209"/>
              <w:rPr>
                <w:sz w:val="24"/>
              </w:rPr>
            </w:pPr>
            <w:r>
              <w:rPr>
                <w:sz w:val="24"/>
              </w:rPr>
              <w:t>José Rodrigues Kellyton Brito Vanilson Burégio</w:t>
            </w:r>
          </w:p>
        </w:tc>
      </w:tr>
      <w:tr>
        <w:trPr>
          <w:trHeight w:val="988" w:hRule="atLeast"/>
        </w:trPr>
        <w:tc>
          <w:tcPr>
            <w:tcW w:w="1637" w:type="dxa"/>
          </w:tcPr>
          <w:p>
            <w:pPr>
              <w:pStyle w:val="TableParagraph"/>
              <w:spacing w:line="268" w:lineRule="exact"/>
              <w:ind w:left="95"/>
              <w:rPr>
                <w:sz w:val="24"/>
              </w:rPr>
            </w:pPr>
            <w:r>
              <w:rPr>
                <w:sz w:val="24"/>
              </w:rPr>
              <w:t>13/12/2016</w:t>
            </w:r>
          </w:p>
        </w:tc>
        <w:tc>
          <w:tcPr>
            <w:tcW w:w="1620" w:type="dxa"/>
          </w:tcPr>
          <w:p>
            <w:pPr>
              <w:pStyle w:val="TableParagraph"/>
              <w:spacing w:line="268" w:lineRule="exact"/>
              <w:ind w:left="98"/>
              <w:rPr>
                <w:sz w:val="24"/>
              </w:rPr>
            </w:pPr>
            <w:r>
              <w:rPr>
                <w:sz w:val="24"/>
              </w:rPr>
              <w:t>00.07</w:t>
            </w:r>
          </w:p>
        </w:tc>
        <w:tc>
          <w:tcPr>
            <w:tcW w:w="5040" w:type="dxa"/>
          </w:tcPr>
          <w:p>
            <w:pPr>
              <w:pStyle w:val="TableParagraph"/>
              <w:ind w:left="99" w:right="818"/>
              <w:rPr>
                <w:sz w:val="24"/>
              </w:rPr>
            </w:pPr>
            <w:r>
              <w:rPr>
                <w:sz w:val="24"/>
              </w:rPr>
              <w:t>Pequenos ajustes após revisão do grupo de trabalho.</w:t>
            </w:r>
          </w:p>
        </w:tc>
        <w:tc>
          <w:tcPr>
            <w:tcW w:w="2039" w:type="dxa"/>
          </w:tcPr>
          <w:p>
            <w:pPr>
              <w:pStyle w:val="TableParagraph"/>
              <w:ind w:left="100" w:right="209"/>
              <w:rPr>
                <w:sz w:val="24"/>
              </w:rPr>
            </w:pPr>
            <w:r>
              <w:rPr>
                <w:sz w:val="24"/>
              </w:rPr>
              <w:t>José Rodrigues Vanilson Burégio</w:t>
            </w:r>
          </w:p>
        </w:tc>
      </w:tr>
      <w:tr>
        <w:trPr>
          <w:trHeight w:val="988" w:hRule="atLeast"/>
        </w:trPr>
        <w:tc>
          <w:tcPr>
            <w:tcW w:w="1637" w:type="dxa"/>
          </w:tcPr>
          <w:p>
            <w:pPr>
              <w:pStyle w:val="TableParagraph"/>
              <w:spacing w:line="268" w:lineRule="exact"/>
              <w:ind w:left="95"/>
              <w:rPr>
                <w:sz w:val="24"/>
              </w:rPr>
            </w:pPr>
            <w:r>
              <w:rPr>
                <w:sz w:val="24"/>
              </w:rPr>
              <w:t>24/03/2017</w:t>
            </w:r>
          </w:p>
        </w:tc>
        <w:tc>
          <w:tcPr>
            <w:tcW w:w="1620" w:type="dxa"/>
          </w:tcPr>
          <w:p>
            <w:pPr>
              <w:pStyle w:val="TableParagraph"/>
              <w:spacing w:line="268" w:lineRule="exact"/>
              <w:ind w:left="98"/>
              <w:rPr>
                <w:sz w:val="24"/>
              </w:rPr>
            </w:pPr>
            <w:r>
              <w:rPr>
                <w:sz w:val="24"/>
              </w:rPr>
              <w:t>01.00</w:t>
            </w:r>
          </w:p>
        </w:tc>
        <w:tc>
          <w:tcPr>
            <w:tcW w:w="5040" w:type="dxa"/>
          </w:tcPr>
          <w:p>
            <w:pPr>
              <w:pStyle w:val="TableParagraph"/>
              <w:spacing w:line="268" w:lineRule="exact"/>
              <w:ind w:left="99"/>
              <w:rPr>
                <w:sz w:val="24"/>
              </w:rPr>
            </w:pPr>
            <w:r>
              <w:rPr>
                <w:sz w:val="24"/>
              </w:rPr>
              <w:t>Ajustes de acordo com as ressalvas do CTI.</w:t>
            </w:r>
          </w:p>
        </w:tc>
        <w:tc>
          <w:tcPr>
            <w:tcW w:w="2039" w:type="dxa"/>
          </w:tcPr>
          <w:p>
            <w:pPr>
              <w:pStyle w:val="TableParagraph"/>
              <w:ind w:left="100" w:right="209"/>
              <w:rPr>
                <w:sz w:val="24"/>
              </w:rPr>
            </w:pPr>
            <w:r>
              <w:rPr>
                <w:sz w:val="24"/>
              </w:rPr>
              <w:t>José Rodrigues Vanilson Burégio</w:t>
            </w:r>
          </w:p>
        </w:tc>
      </w:tr>
    </w:tbl>
    <w:p>
      <w:pPr>
        <w:spacing w:after="0"/>
        <w:rPr>
          <w:sz w:val="24"/>
        </w:rPr>
        <w:sectPr>
          <w:pgSz w:w="11910" w:h="16840"/>
          <w:pgMar w:header="763" w:footer="488" w:top="1640" w:bottom="680" w:left="860" w:right="480"/>
        </w:sectPr>
      </w:pPr>
    </w:p>
    <w:p>
      <w:pPr>
        <w:pStyle w:val="BodyText"/>
        <w:rPr>
          <w:sz w:val="20"/>
        </w:rPr>
      </w:pPr>
    </w:p>
    <w:p>
      <w:pPr>
        <w:pStyle w:val="BodyText"/>
        <w:spacing w:before="9"/>
        <w:rPr>
          <w:sz w:val="28"/>
        </w:rPr>
      </w:pPr>
    </w:p>
    <w:p>
      <w:pPr>
        <w:pStyle w:val="BodyText"/>
        <w:spacing w:before="90"/>
        <w:ind w:left="580"/>
      </w:pPr>
      <w:r>
        <w:rPr/>
        <w:t>Sumário</w:t>
      </w:r>
    </w:p>
    <w:sdt>
      <w:sdtPr>
        <w:docPartObj>
          <w:docPartGallery w:val="Table of Contents"/>
          <w:docPartUnique/>
        </w:docPartObj>
      </w:sdtPr>
      <w:sdtEndPr/>
      <w:sdtContent>
        <w:p>
          <w:pPr>
            <w:pStyle w:val="TOC2"/>
            <w:tabs>
              <w:tab w:pos="9599" w:val="right" w:leader="dot"/>
            </w:tabs>
          </w:pPr>
          <w:r>
            <w:rPr/>
            <w:t>Sumário</w:t>
            <w:tab/>
            <w:t>5</w:t>
          </w:r>
        </w:p>
        <w:p>
          <w:pPr>
            <w:pStyle w:val="TOC1"/>
            <w:numPr>
              <w:ilvl w:val="0"/>
              <w:numId w:val="1"/>
            </w:numPr>
            <w:tabs>
              <w:tab w:pos="821" w:val="left" w:leader="none"/>
              <w:tab w:pos="9599" w:val="right" w:leader="dot"/>
            </w:tabs>
            <w:spacing w:line="240" w:lineRule="auto" w:before="142" w:after="0"/>
            <w:ind w:left="820" w:right="0" w:hanging="241"/>
            <w:jc w:val="left"/>
            <w:rPr>
              <w:b w:val="0"/>
            </w:rPr>
          </w:pPr>
          <w:hyperlink w:history="true" w:anchor="_TOC_250008">
            <w:r>
              <w:rPr/>
              <w:t>Apresentação.</w:t>
              <w:tab/>
            </w:r>
            <w:r>
              <w:rPr>
                <w:b w:val="0"/>
              </w:rPr>
              <w:t>6</w:t>
            </w:r>
          </w:hyperlink>
        </w:p>
        <w:p>
          <w:pPr>
            <w:pStyle w:val="TOC1"/>
            <w:numPr>
              <w:ilvl w:val="0"/>
              <w:numId w:val="1"/>
            </w:numPr>
            <w:tabs>
              <w:tab w:pos="821" w:val="left" w:leader="none"/>
              <w:tab w:pos="9599" w:val="right" w:leader="dot"/>
            </w:tabs>
            <w:spacing w:line="240" w:lineRule="auto" w:before="141" w:after="0"/>
            <w:ind w:left="820" w:right="0" w:hanging="241"/>
            <w:jc w:val="left"/>
            <w:rPr>
              <w:b w:val="0"/>
            </w:rPr>
          </w:pPr>
          <w:hyperlink w:history="true" w:anchor="_TOC_250007">
            <w:r>
              <w:rPr/>
              <w:t>Introdução.</w:t>
              <w:tab/>
            </w:r>
            <w:r>
              <w:rPr>
                <w:b w:val="0"/>
              </w:rPr>
              <w:t>7</w:t>
            </w:r>
          </w:hyperlink>
        </w:p>
        <w:p>
          <w:pPr>
            <w:pStyle w:val="TOC1"/>
            <w:numPr>
              <w:ilvl w:val="0"/>
              <w:numId w:val="1"/>
            </w:numPr>
            <w:tabs>
              <w:tab w:pos="821" w:val="left" w:leader="none"/>
              <w:tab w:pos="9599" w:val="right" w:leader="dot"/>
            </w:tabs>
            <w:spacing w:line="240" w:lineRule="auto" w:before="140" w:after="0"/>
            <w:ind w:left="820" w:right="0" w:hanging="241"/>
            <w:jc w:val="left"/>
            <w:rPr>
              <w:b w:val="0"/>
            </w:rPr>
          </w:pPr>
          <w:hyperlink w:history="true" w:anchor="_TOC_250006">
            <w:r>
              <w:rPr/>
              <w:t>Definição dos Dados a</w:t>
            </w:r>
            <w:r>
              <w:rPr>
                <w:spacing w:val="-3"/>
              </w:rPr>
              <w:t> </w:t>
            </w:r>
            <w:r>
              <w:rPr/>
              <w:t>Serem</w:t>
            </w:r>
            <w:r>
              <w:rPr>
                <w:spacing w:val="-4"/>
              </w:rPr>
              <w:t> </w:t>
            </w:r>
            <w:r>
              <w:rPr/>
              <w:t>Abertos.</w:t>
              <w:tab/>
            </w:r>
            <w:r>
              <w:rPr>
                <w:b w:val="0"/>
              </w:rPr>
              <w:t>11</w:t>
            </w:r>
          </w:hyperlink>
        </w:p>
        <w:p>
          <w:pPr>
            <w:pStyle w:val="TOC1"/>
            <w:numPr>
              <w:ilvl w:val="0"/>
              <w:numId w:val="2"/>
            </w:numPr>
            <w:tabs>
              <w:tab w:pos="762" w:val="left" w:leader="none"/>
              <w:tab w:pos="9599" w:val="right" w:leader="dot"/>
            </w:tabs>
            <w:spacing w:line="240" w:lineRule="auto" w:before="141" w:after="0"/>
            <w:ind w:left="761" w:right="0" w:hanging="182"/>
            <w:jc w:val="left"/>
            <w:rPr>
              <w:b w:val="0"/>
            </w:rPr>
          </w:pPr>
          <w:hyperlink w:history="true" w:anchor="_TOC_250005">
            <w:r>
              <w:rPr/>
              <w:t>Catalogação no Portal Brasileiro de</w:t>
            </w:r>
            <w:r>
              <w:rPr>
                <w:spacing w:val="-1"/>
              </w:rPr>
              <w:t> </w:t>
            </w:r>
            <w:r>
              <w:rPr/>
              <w:t>Dados Abertos.</w:t>
              <w:tab/>
            </w:r>
            <w:r>
              <w:rPr>
                <w:b w:val="0"/>
              </w:rPr>
              <w:t>14</w:t>
            </w:r>
          </w:hyperlink>
        </w:p>
        <w:p>
          <w:pPr>
            <w:pStyle w:val="TOC1"/>
            <w:numPr>
              <w:ilvl w:val="0"/>
              <w:numId w:val="2"/>
            </w:numPr>
            <w:tabs>
              <w:tab w:pos="762" w:val="left" w:leader="none"/>
              <w:tab w:pos="9599" w:val="right" w:leader="dot"/>
            </w:tabs>
            <w:spacing w:line="240" w:lineRule="auto" w:before="142" w:after="0"/>
            <w:ind w:left="761" w:right="0" w:hanging="182"/>
            <w:jc w:val="left"/>
            <w:rPr>
              <w:b w:val="0"/>
            </w:rPr>
          </w:pPr>
          <w:hyperlink w:history="true" w:anchor="_TOC_250004">
            <w:r>
              <w:rPr/>
              <w:t>Sustentação.</w:t>
              <w:tab/>
            </w:r>
            <w:r>
              <w:rPr>
                <w:b w:val="0"/>
              </w:rPr>
              <w:t>14</w:t>
            </w:r>
          </w:hyperlink>
        </w:p>
        <w:p>
          <w:pPr>
            <w:pStyle w:val="TOC1"/>
            <w:numPr>
              <w:ilvl w:val="0"/>
              <w:numId w:val="2"/>
            </w:numPr>
            <w:tabs>
              <w:tab w:pos="821" w:val="left" w:leader="none"/>
              <w:tab w:pos="9599" w:val="right" w:leader="dot"/>
            </w:tabs>
            <w:spacing w:line="240" w:lineRule="auto" w:before="142" w:after="0"/>
            <w:ind w:left="820" w:right="0" w:hanging="241"/>
            <w:jc w:val="left"/>
            <w:rPr>
              <w:b w:val="0"/>
            </w:rPr>
          </w:pPr>
          <w:hyperlink w:history="true" w:anchor="_TOC_250003">
            <w:r>
              <w:rPr/>
              <w:t>Monitoramento e</w:t>
            </w:r>
            <w:r>
              <w:rPr>
                <w:spacing w:val="-1"/>
              </w:rPr>
              <w:t> </w:t>
            </w:r>
            <w:r>
              <w:rPr/>
              <w:t>Controle.</w:t>
              <w:tab/>
            </w:r>
            <w:r>
              <w:rPr>
                <w:b w:val="0"/>
              </w:rPr>
              <w:t>16</w:t>
            </w:r>
          </w:hyperlink>
        </w:p>
        <w:p>
          <w:pPr>
            <w:pStyle w:val="TOC1"/>
            <w:numPr>
              <w:ilvl w:val="0"/>
              <w:numId w:val="2"/>
            </w:numPr>
            <w:tabs>
              <w:tab w:pos="762" w:val="left" w:leader="none"/>
              <w:tab w:pos="9599" w:val="right" w:leader="dot"/>
            </w:tabs>
            <w:spacing w:line="240" w:lineRule="auto" w:before="142" w:after="0"/>
            <w:ind w:left="761" w:right="0" w:hanging="182"/>
            <w:jc w:val="left"/>
            <w:rPr>
              <w:b w:val="0"/>
            </w:rPr>
          </w:pPr>
          <w:hyperlink w:history="true" w:anchor="_TOC_250002">
            <w:r>
              <w:rPr/>
              <w:t>Plano</w:t>
            </w:r>
            <w:r>
              <w:rPr>
                <w:spacing w:val="-1"/>
              </w:rPr>
              <w:t> </w:t>
            </w:r>
            <w:r>
              <w:rPr/>
              <w:t>de</w:t>
            </w:r>
            <w:r>
              <w:rPr>
                <w:spacing w:val="-1"/>
              </w:rPr>
              <w:t> </w:t>
            </w:r>
            <w:r>
              <w:rPr/>
              <w:t>Ação.</w:t>
              <w:tab/>
            </w:r>
            <w:r>
              <w:rPr>
                <w:b w:val="0"/>
              </w:rPr>
              <w:t>18</w:t>
            </w:r>
          </w:hyperlink>
        </w:p>
        <w:p>
          <w:pPr>
            <w:pStyle w:val="TOC1"/>
            <w:tabs>
              <w:tab w:pos="9599" w:val="right" w:leader="dot"/>
            </w:tabs>
            <w:spacing w:before="141"/>
            <w:ind w:left="580" w:firstLine="0"/>
            <w:rPr>
              <w:b w:val="0"/>
            </w:rPr>
          </w:pPr>
          <w:hyperlink w:history="true" w:anchor="_TOC_250001">
            <w:r>
              <w:rPr/>
              <w:t>Referências</w:t>
              <w:tab/>
            </w:r>
            <w:r>
              <w:rPr>
                <w:b w:val="0"/>
              </w:rPr>
              <w:t>20</w:t>
            </w:r>
          </w:hyperlink>
        </w:p>
        <w:p>
          <w:pPr>
            <w:pStyle w:val="TOC1"/>
            <w:tabs>
              <w:tab w:pos="9599" w:val="right" w:leader="dot"/>
            </w:tabs>
            <w:ind w:left="580" w:firstLine="0"/>
            <w:rPr>
              <w:b w:val="0"/>
            </w:rPr>
          </w:pPr>
          <w:hyperlink w:history="true" w:anchor="_TOC_250000">
            <w:r>
              <w:rPr/>
              <w:t>Glossário</w:t>
              <w:tab/>
            </w:r>
            <w:r>
              <w:rPr>
                <w:b w:val="0"/>
              </w:rPr>
              <w:t>20</w:t>
            </w:r>
          </w:hyperlink>
        </w:p>
      </w:sdtContent>
    </w:sdt>
    <w:p>
      <w:pPr>
        <w:spacing w:after="0"/>
        <w:sectPr>
          <w:pgSz w:w="11910" w:h="16840"/>
          <w:pgMar w:header="763" w:footer="488" w:top="1640" w:bottom="680" w:left="860" w:right="480"/>
        </w:sectPr>
      </w:pPr>
    </w:p>
    <w:p>
      <w:pPr>
        <w:pStyle w:val="Heading1"/>
        <w:numPr>
          <w:ilvl w:val="0"/>
          <w:numId w:val="3"/>
        </w:numPr>
        <w:tabs>
          <w:tab w:pos="821" w:val="left" w:leader="none"/>
        </w:tabs>
        <w:spacing w:line="240" w:lineRule="auto" w:before="96" w:after="0"/>
        <w:ind w:left="820" w:right="0" w:hanging="241"/>
        <w:jc w:val="left"/>
      </w:pPr>
      <w:bookmarkStart w:name="_TOC_250008" w:id="1"/>
      <w:bookmarkEnd w:id="1"/>
      <w:r>
        <w:rPr>
          <w:color w:val="000009"/>
        </w:rPr>
        <w:t>Apresentação.</w:t>
      </w:r>
    </w:p>
    <w:p>
      <w:pPr>
        <w:pStyle w:val="BodyText"/>
        <w:spacing w:before="39"/>
        <w:ind w:left="2282"/>
      </w:pPr>
      <w:r>
        <w:rPr/>
        <w:t>Este documento, </w:t>
      </w:r>
      <w:r>
        <w:rPr>
          <w:color w:val="000009"/>
        </w:rPr>
        <w:t>intitulado </w:t>
      </w:r>
      <w:r>
        <w:rPr/>
        <w:t>Plano de Dados Abertos (PDA), visa </w:t>
      </w:r>
      <w:r>
        <w:rPr>
          <w:spacing w:val="14"/>
        </w:rPr>
        <w:t> </w:t>
      </w:r>
      <w:r>
        <w:rPr/>
        <w:t>orientar as</w:t>
      </w:r>
    </w:p>
    <w:p>
      <w:pPr>
        <w:pStyle w:val="BodyText"/>
        <w:spacing w:line="276" w:lineRule="auto" w:before="41"/>
        <w:ind w:left="580" w:right="955"/>
        <w:jc w:val="both"/>
      </w:pPr>
      <w:r>
        <w:rPr/>
        <w:t>ações de implementação e promoção de abertura de dados da Universidade Federal Rural de Pernambuco (UFRPE), de forma a facilitar a publicação, o acesso, entendimento e reutilização de dados, não apenas pelos servidores da UFRPE, </w:t>
      </w:r>
      <w:r>
        <w:rPr>
          <w:color w:val="000009"/>
        </w:rPr>
        <w:t>mas </w:t>
      </w:r>
      <w:r>
        <w:rPr/>
        <w:t>também por qualquer cidadão</w:t>
      </w:r>
      <w:r>
        <w:rPr>
          <w:spacing w:val="10"/>
        </w:rPr>
        <w:t> </w:t>
      </w:r>
      <w:r>
        <w:rPr/>
        <w:t>que</w:t>
      </w:r>
      <w:r>
        <w:rPr>
          <w:spacing w:val="9"/>
        </w:rPr>
        <w:t> </w:t>
      </w:r>
      <w:r>
        <w:rPr/>
        <w:t>tenha</w:t>
      </w:r>
      <w:r>
        <w:rPr>
          <w:spacing w:val="9"/>
        </w:rPr>
        <w:t> </w:t>
      </w:r>
      <w:r>
        <w:rPr/>
        <w:t>interesse</w:t>
      </w:r>
      <w:r>
        <w:rPr>
          <w:spacing w:val="10"/>
        </w:rPr>
        <w:t> </w:t>
      </w:r>
      <w:r>
        <w:rPr/>
        <w:t>em</w:t>
      </w:r>
      <w:r>
        <w:rPr>
          <w:spacing w:val="11"/>
        </w:rPr>
        <w:t> </w:t>
      </w:r>
      <w:r>
        <w:rPr/>
        <w:t>tais</w:t>
      </w:r>
      <w:r>
        <w:rPr>
          <w:spacing w:val="12"/>
        </w:rPr>
        <w:t> </w:t>
      </w:r>
      <w:r>
        <w:rPr/>
        <w:t>dados.</w:t>
      </w:r>
      <w:r>
        <w:rPr>
          <w:spacing w:val="11"/>
        </w:rPr>
        <w:t> </w:t>
      </w:r>
      <w:r>
        <w:rPr/>
        <w:t>O</w:t>
      </w:r>
      <w:r>
        <w:rPr>
          <w:spacing w:val="10"/>
        </w:rPr>
        <w:t> </w:t>
      </w:r>
      <w:r>
        <w:rPr/>
        <w:t>plano</w:t>
      </w:r>
      <w:r>
        <w:rPr>
          <w:spacing w:val="10"/>
        </w:rPr>
        <w:t> </w:t>
      </w:r>
      <w:r>
        <w:rPr/>
        <w:t>foi</w:t>
      </w:r>
      <w:r>
        <w:rPr>
          <w:spacing w:val="10"/>
        </w:rPr>
        <w:t> </w:t>
      </w:r>
      <w:r>
        <w:rPr/>
        <w:t>elaborado</w:t>
      </w:r>
      <w:r>
        <w:rPr>
          <w:spacing w:val="11"/>
        </w:rPr>
        <w:t> </w:t>
      </w:r>
      <w:r>
        <w:rPr/>
        <w:t>por</w:t>
      </w:r>
      <w:r>
        <w:rPr>
          <w:spacing w:val="10"/>
        </w:rPr>
        <w:t> </w:t>
      </w:r>
      <w:r>
        <w:rPr/>
        <w:t>um</w:t>
      </w:r>
      <w:r>
        <w:rPr>
          <w:spacing w:val="13"/>
        </w:rPr>
        <w:t> </w:t>
      </w:r>
      <w:r>
        <w:rPr/>
        <w:t>Grupo</w:t>
      </w:r>
      <w:r>
        <w:rPr>
          <w:spacing w:val="10"/>
        </w:rPr>
        <w:t> </w:t>
      </w:r>
      <w:r>
        <w:rPr/>
        <w:t>de</w:t>
      </w:r>
      <w:r>
        <w:rPr>
          <w:spacing w:val="9"/>
        </w:rPr>
        <w:t> </w:t>
      </w:r>
      <w:r>
        <w:rPr/>
        <w:t>Trabalho</w:t>
      </w:r>
    </w:p>
    <w:p>
      <w:pPr>
        <w:pStyle w:val="BodyText"/>
        <w:spacing w:line="276" w:lineRule="auto"/>
        <w:ind w:left="580" w:right="955"/>
        <w:jc w:val="both"/>
      </w:pPr>
      <w:r>
        <w:rPr/>
        <w:t>– GT PDA/UFRPE, designado pelo Presidente do Comitê de Tecnologia da Informação – CTI/UFRPE, por meio da Portaria nº 001/2016 – CTI, de 05 de setembro de 2016. Seu prazo de vigência compreende o período de 2017 até o término do ano de 2018.</w:t>
      </w:r>
    </w:p>
    <w:p>
      <w:pPr>
        <w:pStyle w:val="BodyText"/>
        <w:spacing w:before="7"/>
        <w:rPr>
          <w:sz w:val="27"/>
        </w:rPr>
      </w:pPr>
    </w:p>
    <w:p>
      <w:pPr>
        <w:pStyle w:val="BodyText"/>
        <w:spacing w:line="276" w:lineRule="auto"/>
        <w:ind w:left="580" w:right="957" w:firstLine="1701"/>
        <w:jc w:val="both"/>
      </w:pPr>
      <w:r>
        <w:rPr/>
        <w:t>O restante do documento está organizado como segue. A Seção 2 institui o PDA da UFRPE, apresentando o normativo aplicável, e o alinhamento dos seus objetivos com o contexto da Universidade. A Seção 3 estabelece os critérios e diretrizes a serem utilizados para abertura dos dados da UFRPE. A Seção 4 apresenta o passo-a-passo do processo de publicação de dados. A Seção 5 aborda a catalogação no Portal Brasileiro de Dados Abertos. Na Seção 6 são detalhadas as responsabilidades relacionadas à curadoria da publicação de dados. A Seção 7 estabelece o processo de monitoramento e controle das ações previstas no Plano. E, por fim, a Seção 8 detalha as atividades e responsabilidades relacionadas ao processo de publicação de dados, bem como prazos e</w:t>
      </w:r>
      <w:r>
        <w:rPr>
          <w:spacing w:val="-3"/>
        </w:rPr>
        <w:t> </w:t>
      </w:r>
      <w:r>
        <w:rPr/>
        <w:t>requisitos.</w:t>
      </w:r>
    </w:p>
    <w:p>
      <w:pPr>
        <w:spacing w:after="0" w:line="276" w:lineRule="auto"/>
        <w:jc w:val="both"/>
        <w:sectPr>
          <w:pgSz w:w="11910" w:h="16840"/>
          <w:pgMar w:header="763" w:footer="488" w:top="1640" w:bottom="680" w:left="860" w:right="480"/>
        </w:sectPr>
      </w:pPr>
    </w:p>
    <w:p>
      <w:pPr>
        <w:pStyle w:val="Heading1"/>
        <w:numPr>
          <w:ilvl w:val="0"/>
          <w:numId w:val="3"/>
        </w:numPr>
        <w:tabs>
          <w:tab w:pos="821" w:val="left" w:leader="none"/>
        </w:tabs>
        <w:spacing w:line="240" w:lineRule="auto" w:before="96" w:after="0"/>
        <w:ind w:left="820" w:right="0" w:hanging="241"/>
        <w:jc w:val="left"/>
      </w:pPr>
      <w:bookmarkStart w:name="_TOC_250007" w:id="2"/>
      <w:bookmarkEnd w:id="2"/>
      <w:r>
        <w:rPr>
          <w:color w:val="000009"/>
        </w:rPr>
        <w:t>Introdução.</w:t>
      </w:r>
    </w:p>
    <w:p>
      <w:pPr>
        <w:pStyle w:val="BodyText"/>
        <w:spacing w:before="8"/>
        <w:rPr>
          <w:b/>
          <w:sz w:val="34"/>
        </w:rPr>
      </w:pPr>
    </w:p>
    <w:p>
      <w:pPr>
        <w:pStyle w:val="BodyText"/>
        <w:spacing w:line="276" w:lineRule="auto"/>
        <w:ind w:left="580" w:right="958" w:firstLine="1701"/>
        <w:jc w:val="both"/>
      </w:pPr>
      <w:r>
        <w:rPr/>
        <w:t>A UFRPE, por meio deste documento, institui o seu Plano de Dados Abertos (PDA). O PDA é o instrumento de orientação das ações de implementação e promoção da publicação de dados, inclusive geoespacializados, de uma organização. Ele estabelece o planejamento e coordenação da política de disponibilização dos dados públicos da Instituição em formato aberto. Busca-se promover a cultura da gestão pública, participativa, democrática e transparente. E, desta forma, contribuir para a transformação social sustentável, a partir do desenvolvimento de ambientes multidisciplinares para a resolução de</w:t>
      </w:r>
      <w:r>
        <w:rPr>
          <w:spacing w:val="-2"/>
        </w:rPr>
        <w:t> </w:t>
      </w:r>
      <w:r>
        <w:rPr/>
        <w:t>problemas.</w:t>
      </w:r>
    </w:p>
    <w:p>
      <w:pPr>
        <w:pStyle w:val="BodyText"/>
        <w:spacing w:before="4"/>
        <w:rPr>
          <w:sz w:val="31"/>
        </w:rPr>
      </w:pPr>
    </w:p>
    <w:p>
      <w:pPr>
        <w:pStyle w:val="BodyText"/>
        <w:spacing w:line="276" w:lineRule="auto"/>
        <w:ind w:left="580" w:right="957" w:firstLine="1701"/>
        <w:jc w:val="both"/>
      </w:pPr>
      <w:r>
        <w:rPr/>
        <w:t>O prazo de vigência deste documento compreende o período de 2017 até o término do ano de 2018, considerando que a revisão deste documento deve estar alinhada com o planejamento estratégico institucional. </w:t>
      </w:r>
      <w:r>
        <w:rPr>
          <w:color w:val="000009"/>
        </w:rPr>
        <w:t>Este plano foi elaborado por um Grupo de Trabalho – GT PDA/UFRPE, designado pelo Presidente do Comitê de Tecnologia da Informação – CTI/UFRPE, por meio da Portaria nº 001/2016 – CTI, de 05 de setembro de 2016 (já consta na apresentação)</w:t>
      </w:r>
      <w:r>
        <w:rPr/>
        <w:t>. A metodologia adotada seguiu as recomendações do Manual para Elaboração do Plano de Dados Abertos e algumas etapas adicionais foram realizadas como, por exemplo: avaliação de PDA de outras organizações (e.g., UFRN, INEP, Ministério da Justiça e Ministério da Transparência, Fiscalização e Controladoria-Geral da União (CGU)), estudo dos instrumentos legais e alinhamento com os instrumentos de planejamento da</w:t>
      </w:r>
      <w:r>
        <w:rPr>
          <w:spacing w:val="-1"/>
        </w:rPr>
        <w:t> </w:t>
      </w:r>
      <w:r>
        <w:rPr/>
        <w:t>UFRPE.</w:t>
      </w:r>
    </w:p>
    <w:p>
      <w:pPr>
        <w:pStyle w:val="BodyText"/>
        <w:spacing w:before="2"/>
        <w:rPr>
          <w:sz w:val="31"/>
        </w:rPr>
      </w:pPr>
    </w:p>
    <w:p>
      <w:pPr>
        <w:pStyle w:val="BodyText"/>
        <w:spacing w:line="276" w:lineRule="auto" w:before="1"/>
        <w:ind w:left="580" w:right="1635" w:firstLine="1701"/>
      </w:pPr>
      <w:r>
        <w:rPr/>
        <w:t>O PDA, em sua estrutura, considera os princípios e diretrizes dos normativos abaixo e os deles decorrentes.</w:t>
      </w:r>
    </w:p>
    <w:p>
      <w:pPr>
        <w:pStyle w:val="ListParagraph"/>
        <w:numPr>
          <w:ilvl w:val="1"/>
          <w:numId w:val="3"/>
        </w:numPr>
        <w:tabs>
          <w:tab w:pos="1301" w:val="left" w:leader="none"/>
        </w:tabs>
        <w:spacing w:line="266" w:lineRule="auto" w:before="60" w:after="0"/>
        <w:ind w:left="1300" w:right="963" w:hanging="360"/>
        <w:jc w:val="left"/>
        <w:rPr>
          <w:rFonts w:ascii="Wingdings" w:hAnsi="Wingdings"/>
          <w:sz w:val="28"/>
        </w:rPr>
      </w:pPr>
      <w:r>
        <w:rPr>
          <w:sz w:val="24"/>
        </w:rPr>
        <w:t>O Decreto Presidencial nº 8.777, de 11 de maio de 2016, que institui a Política de Dados Abertos do Poder Executivo Federal;</w:t>
      </w:r>
    </w:p>
    <w:p>
      <w:pPr>
        <w:pStyle w:val="ListParagraph"/>
        <w:numPr>
          <w:ilvl w:val="1"/>
          <w:numId w:val="3"/>
        </w:numPr>
        <w:tabs>
          <w:tab w:pos="1301" w:val="left" w:leader="none"/>
        </w:tabs>
        <w:spacing w:line="240" w:lineRule="auto" w:before="11" w:after="0"/>
        <w:ind w:left="1300" w:right="0" w:hanging="361"/>
        <w:jc w:val="left"/>
        <w:rPr>
          <w:rFonts w:ascii="Wingdings" w:hAnsi="Wingdings"/>
          <w:sz w:val="28"/>
        </w:rPr>
      </w:pPr>
      <w:r>
        <w:rPr>
          <w:sz w:val="24"/>
        </w:rPr>
        <w:t>A</w:t>
      </w:r>
      <w:r>
        <w:rPr>
          <w:spacing w:val="5"/>
          <w:sz w:val="24"/>
        </w:rPr>
        <w:t> </w:t>
      </w:r>
      <w:r>
        <w:rPr>
          <w:sz w:val="24"/>
        </w:rPr>
        <w:t>Lei</w:t>
      </w:r>
      <w:r>
        <w:rPr>
          <w:spacing w:val="5"/>
          <w:sz w:val="24"/>
        </w:rPr>
        <w:t> </w:t>
      </w:r>
      <w:r>
        <w:rPr>
          <w:sz w:val="24"/>
        </w:rPr>
        <w:t>nº</w:t>
      </w:r>
      <w:r>
        <w:rPr>
          <w:spacing w:val="6"/>
          <w:sz w:val="24"/>
        </w:rPr>
        <w:t> </w:t>
      </w:r>
      <w:r>
        <w:rPr>
          <w:sz w:val="24"/>
        </w:rPr>
        <w:t>12.527,</w:t>
      </w:r>
      <w:r>
        <w:rPr>
          <w:spacing w:val="3"/>
          <w:sz w:val="24"/>
        </w:rPr>
        <w:t> </w:t>
      </w:r>
      <w:r>
        <w:rPr>
          <w:sz w:val="24"/>
        </w:rPr>
        <w:t>de</w:t>
      </w:r>
      <w:r>
        <w:rPr>
          <w:spacing w:val="3"/>
          <w:sz w:val="24"/>
        </w:rPr>
        <w:t> </w:t>
      </w:r>
      <w:r>
        <w:rPr>
          <w:sz w:val="24"/>
        </w:rPr>
        <w:t>18</w:t>
      </w:r>
      <w:r>
        <w:rPr>
          <w:spacing w:val="6"/>
          <w:sz w:val="24"/>
        </w:rPr>
        <w:t> </w:t>
      </w:r>
      <w:r>
        <w:rPr>
          <w:sz w:val="24"/>
        </w:rPr>
        <w:t>de</w:t>
      </w:r>
      <w:r>
        <w:rPr>
          <w:spacing w:val="2"/>
          <w:sz w:val="24"/>
        </w:rPr>
        <w:t> </w:t>
      </w:r>
      <w:r>
        <w:rPr>
          <w:sz w:val="24"/>
        </w:rPr>
        <w:t>novembro</w:t>
      </w:r>
      <w:r>
        <w:rPr>
          <w:spacing w:val="6"/>
          <w:sz w:val="24"/>
        </w:rPr>
        <w:t> </w:t>
      </w:r>
      <w:r>
        <w:rPr>
          <w:sz w:val="24"/>
        </w:rPr>
        <w:t>de</w:t>
      </w:r>
      <w:r>
        <w:rPr>
          <w:spacing w:val="5"/>
          <w:sz w:val="24"/>
        </w:rPr>
        <w:t> </w:t>
      </w:r>
      <w:r>
        <w:rPr>
          <w:sz w:val="24"/>
        </w:rPr>
        <w:t>2011,</w:t>
      </w:r>
      <w:r>
        <w:rPr>
          <w:spacing w:val="6"/>
          <w:sz w:val="24"/>
        </w:rPr>
        <w:t> </w:t>
      </w:r>
      <w:r>
        <w:rPr>
          <w:sz w:val="24"/>
        </w:rPr>
        <w:t>a</w:t>
      </w:r>
      <w:r>
        <w:rPr>
          <w:spacing w:val="2"/>
          <w:sz w:val="24"/>
        </w:rPr>
        <w:t> </w:t>
      </w:r>
      <w:r>
        <w:rPr>
          <w:sz w:val="24"/>
        </w:rPr>
        <w:t>chamada</w:t>
      </w:r>
      <w:r>
        <w:rPr>
          <w:spacing w:val="7"/>
          <w:sz w:val="24"/>
        </w:rPr>
        <w:t> </w:t>
      </w:r>
      <w:r>
        <w:rPr>
          <w:sz w:val="24"/>
        </w:rPr>
        <w:t>Lei</w:t>
      </w:r>
      <w:r>
        <w:rPr>
          <w:spacing w:val="5"/>
          <w:sz w:val="24"/>
        </w:rPr>
        <w:t> </w:t>
      </w:r>
      <w:r>
        <w:rPr>
          <w:sz w:val="24"/>
        </w:rPr>
        <w:t>de</w:t>
      </w:r>
      <w:r>
        <w:rPr>
          <w:spacing w:val="2"/>
          <w:sz w:val="24"/>
        </w:rPr>
        <w:t> </w:t>
      </w:r>
      <w:r>
        <w:rPr>
          <w:sz w:val="24"/>
        </w:rPr>
        <w:t>Acesso</w:t>
      </w:r>
      <w:r>
        <w:rPr>
          <w:spacing w:val="7"/>
          <w:sz w:val="24"/>
        </w:rPr>
        <w:t> </w:t>
      </w:r>
      <w:r>
        <w:rPr>
          <w:sz w:val="24"/>
        </w:rPr>
        <w:t>à</w:t>
      </w:r>
      <w:r>
        <w:rPr>
          <w:spacing w:val="6"/>
          <w:sz w:val="24"/>
        </w:rPr>
        <w:t> </w:t>
      </w:r>
      <w:r>
        <w:rPr>
          <w:sz w:val="24"/>
        </w:rPr>
        <w:t>Informação</w:t>
      </w:r>
    </w:p>
    <w:p>
      <w:pPr>
        <w:pStyle w:val="BodyText"/>
        <w:spacing w:before="34"/>
        <w:ind w:left="1300"/>
      </w:pPr>
      <w:r>
        <w:rPr/>
        <w:t>– LAI;</w:t>
      </w:r>
    </w:p>
    <w:p>
      <w:pPr>
        <w:pStyle w:val="ListParagraph"/>
        <w:numPr>
          <w:ilvl w:val="1"/>
          <w:numId w:val="3"/>
        </w:numPr>
        <w:tabs>
          <w:tab w:pos="1301" w:val="left" w:leader="none"/>
        </w:tabs>
        <w:spacing w:line="266" w:lineRule="auto" w:before="42" w:after="0"/>
        <w:ind w:left="1300" w:right="961" w:hanging="360"/>
        <w:jc w:val="both"/>
        <w:rPr>
          <w:rFonts w:ascii="Wingdings" w:hAnsi="Wingdings"/>
          <w:sz w:val="28"/>
        </w:rPr>
      </w:pPr>
      <w:r>
        <w:rPr>
          <w:sz w:val="24"/>
        </w:rPr>
        <w:t>O Decreto Nº 7.724, de 16 de maio de de 2012, que regulamenta a Lei 12.527 de 18 de novembro de</w:t>
      </w:r>
      <w:r>
        <w:rPr>
          <w:spacing w:val="-4"/>
          <w:sz w:val="24"/>
        </w:rPr>
        <w:t> </w:t>
      </w:r>
      <w:r>
        <w:rPr>
          <w:sz w:val="24"/>
        </w:rPr>
        <w:t>2011;</w:t>
      </w:r>
    </w:p>
    <w:p>
      <w:pPr>
        <w:pStyle w:val="ListParagraph"/>
        <w:numPr>
          <w:ilvl w:val="1"/>
          <w:numId w:val="3"/>
        </w:numPr>
        <w:tabs>
          <w:tab w:pos="1301" w:val="left" w:leader="none"/>
        </w:tabs>
        <w:spacing w:line="273" w:lineRule="auto" w:before="11" w:after="0"/>
        <w:ind w:left="1300" w:right="959" w:hanging="360"/>
        <w:jc w:val="both"/>
        <w:rPr>
          <w:rFonts w:ascii="Wingdings" w:hAnsi="Wingdings"/>
          <w:sz w:val="28"/>
        </w:rPr>
      </w:pPr>
      <w:r>
        <w:rPr>
          <w:sz w:val="24"/>
        </w:rPr>
        <w:t>O disposto no art. 48 da Lei Complementar nº 101 de 4 de maio de 2000, que determina ao Poder Público a adoção de instrumentos de transparência na gestão fiscal em meios eletrônicos de acesso público às informações orçamentárias e prestações de</w:t>
      </w:r>
      <w:r>
        <w:rPr>
          <w:spacing w:val="-1"/>
          <w:sz w:val="24"/>
        </w:rPr>
        <w:t> </w:t>
      </w:r>
      <w:r>
        <w:rPr>
          <w:sz w:val="24"/>
        </w:rPr>
        <w:t>contas;</w:t>
      </w:r>
    </w:p>
    <w:p>
      <w:pPr>
        <w:pStyle w:val="ListParagraph"/>
        <w:numPr>
          <w:ilvl w:val="1"/>
          <w:numId w:val="3"/>
        </w:numPr>
        <w:tabs>
          <w:tab w:pos="1301" w:val="left" w:leader="none"/>
        </w:tabs>
        <w:spacing w:line="273" w:lineRule="auto" w:before="0" w:after="0"/>
        <w:ind w:left="1300" w:right="957" w:hanging="360"/>
        <w:jc w:val="both"/>
        <w:rPr>
          <w:rFonts w:ascii="Wingdings" w:hAnsi="Wingdings"/>
          <w:sz w:val="28"/>
        </w:rPr>
      </w:pPr>
      <w:r>
        <w:rPr>
          <w:sz w:val="24"/>
        </w:rPr>
        <w:t>Os parâmetros estabelecidos na e-PING – arquitetura de interoperabilidade do governo eletrônico, e os vocabulários e ontologias de Governo Eletrônico e-VOoG e e-MAG – Modelo de Acessibilidade de Governo Eletrônico (instituído pela Portaria nº 03, de 07 de maio de</w:t>
      </w:r>
      <w:r>
        <w:rPr>
          <w:spacing w:val="-3"/>
          <w:sz w:val="24"/>
        </w:rPr>
        <w:t> </w:t>
      </w:r>
      <w:r>
        <w:rPr>
          <w:sz w:val="24"/>
        </w:rPr>
        <w:t>2007);</w:t>
      </w:r>
    </w:p>
    <w:p>
      <w:pPr>
        <w:pStyle w:val="ListParagraph"/>
        <w:numPr>
          <w:ilvl w:val="1"/>
          <w:numId w:val="3"/>
        </w:numPr>
        <w:tabs>
          <w:tab w:pos="1301" w:val="left" w:leader="none"/>
        </w:tabs>
        <w:spacing w:line="271" w:lineRule="auto" w:before="0" w:after="0"/>
        <w:ind w:left="1300" w:right="957" w:hanging="360"/>
        <w:jc w:val="both"/>
        <w:rPr>
          <w:rFonts w:ascii="Wingdings" w:hAnsi="Wingdings"/>
          <w:sz w:val="28"/>
        </w:rPr>
      </w:pPr>
      <w:r>
        <w:rPr>
          <w:sz w:val="24"/>
        </w:rPr>
        <w:t>O Decreto Presidencial nº 6.666, de 27 de novembro de 2008, que instituiu a criação da Infraestrutura Nacional de Dados Abertos Espaciais – INDE e determina que o compartilhamento</w:t>
      </w:r>
      <w:r>
        <w:rPr>
          <w:spacing w:val="34"/>
          <w:sz w:val="24"/>
        </w:rPr>
        <w:t> </w:t>
      </w:r>
      <w:r>
        <w:rPr>
          <w:sz w:val="24"/>
        </w:rPr>
        <w:t>e</w:t>
      </w:r>
      <w:r>
        <w:rPr>
          <w:spacing w:val="32"/>
          <w:sz w:val="24"/>
        </w:rPr>
        <w:t> </w:t>
      </w:r>
      <w:r>
        <w:rPr>
          <w:sz w:val="24"/>
        </w:rPr>
        <w:t>disseminação</w:t>
      </w:r>
      <w:r>
        <w:rPr>
          <w:spacing w:val="34"/>
          <w:sz w:val="24"/>
        </w:rPr>
        <w:t> </w:t>
      </w:r>
      <w:r>
        <w:rPr>
          <w:sz w:val="24"/>
        </w:rPr>
        <w:t>dos</w:t>
      </w:r>
      <w:r>
        <w:rPr>
          <w:spacing w:val="34"/>
          <w:sz w:val="24"/>
        </w:rPr>
        <w:t> </w:t>
      </w:r>
      <w:r>
        <w:rPr>
          <w:sz w:val="24"/>
        </w:rPr>
        <w:t>dados</w:t>
      </w:r>
      <w:r>
        <w:rPr>
          <w:spacing w:val="37"/>
          <w:sz w:val="24"/>
        </w:rPr>
        <w:t> </w:t>
      </w:r>
      <w:r>
        <w:rPr>
          <w:sz w:val="24"/>
        </w:rPr>
        <w:t>geoespaciais</w:t>
      </w:r>
      <w:r>
        <w:rPr>
          <w:spacing w:val="34"/>
          <w:sz w:val="24"/>
        </w:rPr>
        <w:t> </w:t>
      </w:r>
      <w:r>
        <w:rPr>
          <w:sz w:val="24"/>
        </w:rPr>
        <w:t>e</w:t>
      </w:r>
      <w:r>
        <w:rPr>
          <w:spacing w:val="33"/>
          <w:sz w:val="24"/>
        </w:rPr>
        <w:t> </w:t>
      </w:r>
      <w:r>
        <w:rPr>
          <w:sz w:val="24"/>
        </w:rPr>
        <w:t>seus</w:t>
      </w:r>
      <w:r>
        <w:rPr>
          <w:spacing w:val="34"/>
          <w:sz w:val="24"/>
        </w:rPr>
        <w:t> </w:t>
      </w:r>
      <w:r>
        <w:rPr>
          <w:sz w:val="24"/>
        </w:rPr>
        <w:t>metadados</w:t>
      </w:r>
      <w:r>
        <w:rPr>
          <w:spacing w:val="36"/>
          <w:sz w:val="24"/>
        </w:rPr>
        <w:t> </w:t>
      </w:r>
      <w:r>
        <w:rPr>
          <w:sz w:val="24"/>
        </w:rPr>
        <w:t>é</w:t>
      </w:r>
    </w:p>
    <w:p>
      <w:pPr>
        <w:spacing w:after="0" w:line="271" w:lineRule="auto"/>
        <w:jc w:val="both"/>
        <w:rPr>
          <w:rFonts w:ascii="Wingdings" w:hAnsi="Wingdings"/>
          <w:sz w:val="28"/>
        </w:rPr>
        <w:sectPr>
          <w:pgSz w:w="11910" w:h="16840"/>
          <w:pgMar w:header="763" w:footer="488" w:top="1640" w:bottom="680" w:left="860" w:right="480"/>
        </w:sectPr>
      </w:pPr>
    </w:p>
    <w:p>
      <w:pPr>
        <w:pStyle w:val="BodyText"/>
        <w:spacing w:line="278" w:lineRule="auto" w:before="92"/>
        <w:ind w:left="1300" w:right="960"/>
        <w:jc w:val="both"/>
      </w:pPr>
      <w:r>
        <w:rPr/>
        <w:t>obrigatório para todos os órgãos e entidades do Poder Executivo Federal, salvo os protegidos por sigilo;</w:t>
      </w:r>
    </w:p>
    <w:p>
      <w:pPr>
        <w:pStyle w:val="ListParagraph"/>
        <w:numPr>
          <w:ilvl w:val="1"/>
          <w:numId w:val="3"/>
        </w:numPr>
        <w:tabs>
          <w:tab w:pos="1301" w:val="left" w:leader="none"/>
        </w:tabs>
        <w:spacing w:line="271" w:lineRule="auto" w:before="0" w:after="0"/>
        <w:ind w:left="1300" w:right="955" w:hanging="360"/>
        <w:jc w:val="both"/>
        <w:rPr>
          <w:rFonts w:ascii="Wingdings" w:hAnsi="Wingdings"/>
          <w:sz w:val="28"/>
        </w:rPr>
      </w:pPr>
      <w:r>
        <w:rPr>
          <w:sz w:val="24"/>
        </w:rPr>
        <w:t>A Parceria para Governo Aberto (</w:t>
      </w:r>
      <w:r>
        <w:rPr>
          <w:i/>
          <w:sz w:val="24"/>
        </w:rPr>
        <w:t>Open GovernmentPartnership </w:t>
      </w:r>
      <w:r>
        <w:rPr>
          <w:sz w:val="24"/>
        </w:rPr>
        <w:t>– OGP), celebrada em setembro de 2011 entre o Brasil e sete outros países (mencionada acima), que pactuou novos compromissos a partir de 2013 (2º Plano de</w:t>
      </w:r>
      <w:r>
        <w:rPr>
          <w:spacing w:val="-3"/>
          <w:sz w:val="24"/>
        </w:rPr>
        <w:t> </w:t>
      </w:r>
      <w:r>
        <w:rPr>
          <w:sz w:val="24"/>
        </w:rPr>
        <w:t>Ação);</w:t>
      </w:r>
    </w:p>
    <w:p>
      <w:pPr>
        <w:pStyle w:val="ListParagraph"/>
        <w:numPr>
          <w:ilvl w:val="1"/>
          <w:numId w:val="3"/>
        </w:numPr>
        <w:tabs>
          <w:tab w:pos="1301" w:val="left" w:leader="none"/>
        </w:tabs>
        <w:spacing w:line="271" w:lineRule="auto" w:before="0" w:after="0"/>
        <w:ind w:left="1300" w:right="958" w:hanging="360"/>
        <w:jc w:val="both"/>
        <w:rPr>
          <w:rFonts w:ascii="Wingdings" w:hAnsi="Wingdings"/>
          <w:sz w:val="28"/>
        </w:rPr>
      </w:pPr>
      <w:r>
        <w:rPr>
          <w:sz w:val="24"/>
        </w:rPr>
        <w:t>A Instrução Normativa nº 4 de 13 de abril de 2012, que cria a INDA e estabelece conceitos referentes a: dado, informação, dado público, formato aberto, licença aberta, dados abertos e metadado;</w:t>
      </w:r>
    </w:p>
    <w:p>
      <w:pPr>
        <w:pStyle w:val="ListParagraph"/>
        <w:numPr>
          <w:ilvl w:val="1"/>
          <w:numId w:val="3"/>
        </w:numPr>
        <w:tabs>
          <w:tab w:pos="1301" w:val="left" w:leader="none"/>
        </w:tabs>
        <w:spacing w:line="271" w:lineRule="auto" w:before="3" w:after="0"/>
        <w:ind w:left="1300" w:right="961" w:hanging="360"/>
        <w:jc w:val="both"/>
        <w:rPr>
          <w:rFonts w:ascii="Wingdings" w:hAnsi="Wingdings"/>
          <w:sz w:val="28"/>
        </w:rPr>
      </w:pPr>
      <w:r>
        <w:rPr>
          <w:sz w:val="24"/>
        </w:rPr>
        <w:t>Os parâmetros atuais ou que venham a ser estabelecidos no âmbito de Planejamento Estratégico Institucional (PEI) ou setorial, bem como os relacionados às áreas de tecnologia da informação</w:t>
      </w:r>
      <w:r>
        <w:rPr>
          <w:spacing w:val="-1"/>
          <w:sz w:val="24"/>
        </w:rPr>
        <w:t> </w:t>
      </w:r>
      <w:r>
        <w:rPr>
          <w:sz w:val="24"/>
        </w:rPr>
        <w:t>(PDTI).</w:t>
      </w:r>
    </w:p>
    <w:p>
      <w:pPr>
        <w:pStyle w:val="ListParagraph"/>
        <w:numPr>
          <w:ilvl w:val="1"/>
          <w:numId w:val="3"/>
        </w:numPr>
        <w:tabs>
          <w:tab w:pos="1301" w:val="left" w:leader="none"/>
        </w:tabs>
        <w:spacing w:line="240" w:lineRule="auto" w:before="7" w:after="0"/>
        <w:ind w:left="1300" w:right="0" w:hanging="361"/>
        <w:jc w:val="both"/>
        <w:rPr>
          <w:rFonts w:ascii="Wingdings" w:hAnsi="Wingdings"/>
          <w:sz w:val="28"/>
        </w:rPr>
      </w:pPr>
      <w:r>
        <w:rPr>
          <w:sz w:val="24"/>
        </w:rPr>
        <w:t>Demais diretrizes e documentos institucionais relacionadas ao tema de dados</w:t>
      </w:r>
      <w:r>
        <w:rPr>
          <w:spacing w:val="-7"/>
          <w:sz w:val="24"/>
        </w:rPr>
        <w:t> </w:t>
      </w:r>
      <w:r>
        <w:rPr>
          <w:sz w:val="24"/>
        </w:rPr>
        <w:t>abertos.</w:t>
      </w:r>
    </w:p>
    <w:p>
      <w:pPr>
        <w:pStyle w:val="BodyText"/>
        <w:rPr>
          <w:sz w:val="29"/>
        </w:rPr>
      </w:pPr>
    </w:p>
    <w:p>
      <w:pPr>
        <w:pStyle w:val="BodyText"/>
        <w:ind w:left="580"/>
      </w:pPr>
      <w:r>
        <w:rPr/>
        <w:t>2.1 Cenário </w:t>
      </w:r>
      <w:r>
        <w:rPr>
          <w:color w:val="000009"/>
        </w:rPr>
        <w:t>Institucional.</w:t>
      </w:r>
    </w:p>
    <w:p>
      <w:pPr>
        <w:pStyle w:val="BodyText"/>
        <w:spacing w:before="6"/>
        <w:rPr>
          <w:sz w:val="36"/>
        </w:rPr>
      </w:pPr>
    </w:p>
    <w:p>
      <w:pPr>
        <w:pStyle w:val="BodyText"/>
        <w:spacing w:line="276" w:lineRule="auto"/>
        <w:ind w:left="580" w:right="956" w:firstLine="1701"/>
        <w:jc w:val="both"/>
      </w:pPr>
      <w:r>
        <w:rPr/>
        <w:t>A UFRPE é uma instituição pública do sistema de Ensino Superior Federal. Inaugurada com os cursos de Medicina Veterinária e Agronomia, essa Instituição, atualmente, dispõe de um novo perfil que abrange 59 </w:t>
      </w:r>
      <w:r>
        <w:rPr>
          <w:color w:val="000009"/>
        </w:rPr>
        <w:t>cursos </w:t>
      </w:r>
      <w:r>
        <w:rPr/>
        <w:t>de Graduação, incluindo Administração, Economia, Educação Física, Gastronomia, Sistemas de Informação, Ciência da Computação e diversas Engenharias. A Instituição atua através da sua Sede em Recife, e das Unidades Acadêmicas nas cidades de Garanhuns (UAG), de Serra Talhada (UAST), do Cabo de Santo Agostinho (UACSA), de Educação a Distância e do Colégio Dom Agostinho Ikas (Codai), localizado no município de São Lourenço da Mata. Na pós-graduação, a Universidade destaca-se na produção de pesquisas com 48 cursos de mestrados e doutorado, nas diferentes áreas do</w:t>
      </w:r>
      <w:r>
        <w:rPr>
          <w:spacing w:val="-1"/>
        </w:rPr>
        <w:t> </w:t>
      </w:r>
      <w:r>
        <w:rPr/>
        <w:t>conhecimento.</w:t>
      </w:r>
    </w:p>
    <w:p>
      <w:pPr>
        <w:pStyle w:val="BodyText"/>
        <w:spacing w:before="6"/>
        <w:rPr>
          <w:sz w:val="27"/>
        </w:rPr>
      </w:pPr>
    </w:p>
    <w:p>
      <w:pPr>
        <w:pStyle w:val="BodyText"/>
        <w:spacing w:line="276" w:lineRule="auto"/>
        <w:ind w:left="580" w:right="959" w:firstLine="1701"/>
        <w:jc w:val="both"/>
      </w:pPr>
      <w:r>
        <w:rPr>
          <w:spacing w:val="-1"/>
        </w:rPr>
        <w:t>N</w:t>
      </w:r>
      <w:r>
        <w:rPr/>
        <w:t>o</w:t>
      </w:r>
      <w:r>
        <w:rPr>
          <w:spacing w:val="13"/>
        </w:rPr>
        <w:t> </w:t>
      </w:r>
      <w:r>
        <w:rPr/>
        <w:t>d</w:t>
      </w:r>
      <w:r>
        <w:rPr>
          <w:spacing w:val="-1"/>
        </w:rPr>
        <w:t>ese</w:t>
      </w:r>
      <w:r>
        <w:rPr/>
        <w:t>nvolvimento</w:t>
      </w:r>
      <w:r>
        <w:rPr>
          <w:spacing w:val="14"/>
        </w:rPr>
        <w:t> </w:t>
      </w:r>
      <w:r>
        <w:rPr/>
        <w:t>de</w:t>
      </w:r>
      <w:r>
        <w:rPr>
          <w:spacing w:val="10"/>
        </w:rPr>
        <w:t> </w:t>
      </w:r>
      <w:r>
        <w:rPr>
          <w:spacing w:val="-1"/>
        </w:rPr>
        <w:t>sua</w:t>
      </w:r>
      <w:r>
        <w:rPr/>
        <w:t>s</w:t>
      </w:r>
      <w:r>
        <w:rPr>
          <w:spacing w:val="13"/>
        </w:rPr>
        <w:t> </w:t>
      </w:r>
      <w:r>
        <w:rPr>
          <w:spacing w:val="-1"/>
        </w:rPr>
        <w:t>aç</w:t>
      </w:r>
      <w:r>
        <w:rPr/>
        <w:t>õ</w:t>
      </w:r>
      <w:r>
        <w:rPr>
          <w:spacing w:val="-1"/>
        </w:rPr>
        <w:t>es</w:t>
      </w:r>
      <w:r>
        <w:rPr/>
        <w:t>,</w:t>
      </w:r>
      <w:r>
        <w:rPr>
          <w:spacing w:val="14"/>
        </w:rPr>
        <w:t> </w:t>
      </w:r>
      <w:r>
        <w:rPr/>
        <w:t>a</w:t>
      </w:r>
      <w:r>
        <w:rPr>
          <w:spacing w:val="13"/>
        </w:rPr>
        <w:t> </w:t>
      </w:r>
      <w:r>
        <w:rPr>
          <w:spacing w:val="-1"/>
        </w:rPr>
        <w:t>U</w:t>
      </w:r>
      <w:r>
        <w:rPr>
          <w:spacing w:val="-2"/>
        </w:rPr>
        <w:t>F</w:t>
      </w:r>
      <w:r>
        <w:rPr/>
        <w:t>RPE</w:t>
      </w:r>
      <w:r>
        <w:rPr>
          <w:spacing w:val="14"/>
        </w:rPr>
        <w:t> </w:t>
      </w:r>
      <w:r>
        <w:rPr/>
        <w:t>tem</w:t>
      </w:r>
      <w:r>
        <w:rPr>
          <w:spacing w:val="14"/>
        </w:rPr>
        <w:t> </w:t>
      </w:r>
      <w:r>
        <w:rPr>
          <w:spacing w:val="-1"/>
        </w:rPr>
        <w:t>c</w:t>
      </w:r>
      <w:r>
        <w:rPr/>
        <w:t>omo</w:t>
      </w:r>
      <w:r>
        <w:rPr>
          <w:spacing w:val="14"/>
        </w:rPr>
        <w:t> </w:t>
      </w:r>
      <w:r>
        <w:rPr/>
        <w:t>mi</w:t>
      </w:r>
      <w:r>
        <w:rPr>
          <w:spacing w:val="-3"/>
        </w:rPr>
        <w:t>s</w:t>
      </w:r>
      <w:r>
        <w:rPr>
          <w:spacing w:val="-1"/>
        </w:rPr>
        <w:t>sã</w:t>
      </w:r>
      <w:r>
        <w:rPr/>
        <w:t>o</w:t>
      </w:r>
      <w:r>
        <w:rPr>
          <w:spacing w:val="14"/>
        </w:rPr>
        <w:t> </w:t>
      </w:r>
      <w:r>
        <w:rPr>
          <w:spacing w:val="-1"/>
          <w:w w:val="44"/>
        </w:rPr>
        <w:t>―</w:t>
      </w:r>
      <w:r>
        <w:rPr/>
        <w:t>Const</w:t>
      </w:r>
      <w:r>
        <w:rPr>
          <w:spacing w:val="-4"/>
        </w:rPr>
        <w:t>r</w:t>
      </w:r>
      <w:r>
        <w:rPr/>
        <w:t>uir e disseminar conhecimento e inovação, através de atividades de ensino, pesquisa e extensão, atenta aos anseios da sociedade‖. Dessa forma, pretende contribuir com a transformação social sustentável a partir de políticas de melhoria das atividades de ensino, pesquisa e extensão e promover a inovação, a construção e popularização de saberes científicos, tecnológicos e</w:t>
      </w:r>
      <w:r>
        <w:rPr>
          <w:spacing w:val="-1"/>
        </w:rPr>
        <w:t> </w:t>
      </w:r>
      <w:r>
        <w:rPr/>
        <w:t>culturais.</w:t>
      </w:r>
    </w:p>
    <w:p>
      <w:pPr>
        <w:pStyle w:val="BodyText"/>
        <w:spacing w:before="8"/>
        <w:rPr>
          <w:sz w:val="27"/>
        </w:rPr>
      </w:pPr>
    </w:p>
    <w:p>
      <w:pPr>
        <w:pStyle w:val="BodyText"/>
        <w:spacing w:line="276" w:lineRule="auto"/>
        <w:ind w:left="580" w:right="961" w:firstLine="1701"/>
        <w:jc w:val="both"/>
      </w:pPr>
      <w:r>
        <w:rPr/>
        <w:t>Nesse caminho, essa Instituição busca promover a construção de novos cenários, desenvolvidos a partir de olhares dos diferentes atores da sociedade e da comunidade acadêmica, de maneira democrática, transparente e ética.</w:t>
      </w:r>
    </w:p>
    <w:p>
      <w:pPr>
        <w:pStyle w:val="BodyText"/>
        <w:spacing w:before="5"/>
        <w:rPr>
          <w:sz w:val="31"/>
        </w:rPr>
      </w:pPr>
    </w:p>
    <w:p>
      <w:pPr>
        <w:pStyle w:val="ListParagraph"/>
        <w:numPr>
          <w:ilvl w:val="2"/>
          <w:numId w:val="4"/>
        </w:numPr>
        <w:tabs>
          <w:tab w:pos="1121" w:val="left" w:leader="none"/>
        </w:tabs>
        <w:spacing w:line="240" w:lineRule="auto" w:before="0" w:after="0"/>
        <w:ind w:left="1120" w:right="0" w:hanging="541"/>
        <w:jc w:val="left"/>
        <w:rPr>
          <w:color w:val="000009"/>
          <w:sz w:val="24"/>
        </w:rPr>
      </w:pPr>
      <w:r>
        <w:rPr>
          <w:color w:val="000009"/>
          <w:sz w:val="24"/>
        </w:rPr>
        <w:t>Planejamento Estratégico</w:t>
      </w:r>
      <w:r>
        <w:rPr>
          <w:color w:val="000009"/>
          <w:spacing w:val="3"/>
          <w:sz w:val="24"/>
        </w:rPr>
        <w:t> </w:t>
      </w:r>
      <w:r>
        <w:rPr>
          <w:color w:val="000009"/>
          <w:sz w:val="24"/>
        </w:rPr>
        <w:t>Institucional.</w:t>
      </w:r>
    </w:p>
    <w:p>
      <w:pPr>
        <w:pStyle w:val="BodyText"/>
        <w:spacing w:before="4"/>
        <w:rPr>
          <w:sz w:val="36"/>
        </w:rPr>
      </w:pPr>
    </w:p>
    <w:p>
      <w:pPr>
        <w:pStyle w:val="BodyText"/>
        <w:spacing w:line="276" w:lineRule="auto"/>
        <w:ind w:left="580" w:right="957" w:firstLine="1701"/>
        <w:jc w:val="both"/>
      </w:pPr>
      <w:r>
        <w:rPr/>
        <w:t>O Plano de Desenvolvimento Institucional – PDI é constituído pelo Projeto Pedagógico Institucional – PPI e pelo Planejamento Estratégico Institucional – PEI. Através do PPI, a Universidade institui os seus princípios filosóficos e teóricos-metodológicos do</w:t>
      </w:r>
    </w:p>
    <w:p>
      <w:pPr>
        <w:spacing w:after="0" w:line="276" w:lineRule="auto"/>
        <w:jc w:val="both"/>
        <w:sectPr>
          <w:pgSz w:w="11910" w:h="16840"/>
          <w:pgMar w:header="763" w:footer="488" w:top="1640" w:bottom="680" w:left="860" w:right="480"/>
        </w:sectPr>
      </w:pPr>
    </w:p>
    <w:p>
      <w:pPr>
        <w:pStyle w:val="BodyText"/>
        <w:spacing w:line="276" w:lineRule="auto" w:before="92"/>
        <w:ind w:left="580" w:right="957"/>
        <w:jc w:val="both"/>
      </w:pPr>
      <w:r>
        <w:rPr/>
        <w:t>ensino, a organização didática, bem como, as políticas para o ensino, a pesquisa, extensão, gestão e responsabilidade socioambiental. O PEI, por sua vez, congrega as diretrizes em relação aos diferentes aspectos que constituem a Universidade, apresenta o funcionamento atual da Instituição e propõe estratégias a serem seguidas no futuro, servindo de orientação para as ações em todas as áreas, no ensino, na pesquisa e na extensão.</w:t>
      </w:r>
    </w:p>
    <w:p>
      <w:pPr>
        <w:pStyle w:val="BodyText"/>
        <w:spacing w:line="276" w:lineRule="auto" w:before="2"/>
        <w:ind w:left="580" w:right="955"/>
        <w:jc w:val="both"/>
      </w:pPr>
      <w:r>
        <w:rPr>
          <w:color w:val="000009"/>
        </w:rPr>
        <w:t>Dessa forma, o PDI apresenta a identidade da Instituição, seu projeto de futuro e caminhos a serem seguidos. O Plano de Desenvolvimento Institucional – PDI da UFRPE, tendo por base o Plano Nacional da Educação, abrange o período de 2013—2020. A sua estrutura é constituída por suas concepções filosóficas, sua organização didático pedagógica, sua estrutura organizacional, o mapa estratégico que compreende a missão, a visão, os valores e objetivos estratégicos, entre outras informações fundamentais e norteadores das atividades de ensino, pesquisa, extensão e</w:t>
      </w:r>
      <w:r>
        <w:rPr>
          <w:color w:val="000009"/>
          <w:spacing w:val="-2"/>
        </w:rPr>
        <w:t> </w:t>
      </w:r>
      <w:r>
        <w:rPr>
          <w:color w:val="000009"/>
        </w:rPr>
        <w:t>gestão.</w:t>
      </w:r>
    </w:p>
    <w:p>
      <w:pPr>
        <w:pStyle w:val="BodyText"/>
        <w:spacing w:before="5"/>
        <w:rPr>
          <w:sz w:val="27"/>
        </w:rPr>
      </w:pPr>
    </w:p>
    <w:p>
      <w:pPr>
        <w:pStyle w:val="BodyText"/>
        <w:spacing w:line="276" w:lineRule="auto"/>
        <w:ind w:left="580" w:right="954" w:firstLine="1701"/>
        <w:jc w:val="both"/>
      </w:pPr>
      <w:r>
        <w:rPr/>
        <w:t>O mapa estratégico institucional apresenta a missão, visão e as estratégias indicadas para o alcance desses elementos. Algumas dessas estratégias relacionam-se diretamente com o PDA: valorizar e promover o envolvimento de todos que compõem a instituição na contínua construção de uma universidade pública de excelência, democrática e transparente, e modernizar a gestão da tecnologia da informação e comunicação.</w:t>
      </w:r>
    </w:p>
    <w:p>
      <w:pPr>
        <w:pStyle w:val="BodyText"/>
        <w:spacing w:line="276" w:lineRule="auto" w:before="2"/>
        <w:ind w:left="580" w:right="958"/>
        <w:jc w:val="both"/>
      </w:pPr>
      <w:r>
        <w:rPr>
          <w:color w:val="000009"/>
        </w:rPr>
        <w:t>O PDI da UFRPE estabelece que a transparência permanente dos resultados da instituição e o princípio da cultura da transparência são diretrizes centrais para a gestão e comunicação institucional. Essas diretrizes estão correlacionadas com a essência do plano de dados abertos.</w:t>
      </w:r>
    </w:p>
    <w:p>
      <w:pPr>
        <w:pStyle w:val="BodyText"/>
        <w:spacing w:before="2"/>
        <w:rPr>
          <w:sz w:val="31"/>
        </w:rPr>
      </w:pPr>
    </w:p>
    <w:p>
      <w:pPr>
        <w:pStyle w:val="ListParagraph"/>
        <w:numPr>
          <w:ilvl w:val="2"/>
          <w:numId w:val="4"/>
        </w:numPr>
        <w:tabs>
          <w:tab w:pos="1121" w:val="left" w:leader="none"/>
        </w:tabs>
        <w:spacing w:line="240" w:lineRule="auto" w:before="0" w:after="0"/>
        <w:ind w:left="1120" w:right="0" w:hanging="541"/>
        <w:jc w:val="left"/>
        <w:rPr>
          <w:sz w:val="24"/>
        </w:rPr>
      </w:pPr>
      <w:r>
        <w:rPr>
          <w:sz w:val="24"/>
        </w:rPr>
        <w:t>Plano Diretor de Tecnologia da </w:t>
      </w:r>
      <w:r>
        <w:rPr>
          <w:color w:val="000009"/>
          <w:sz w:val="24"/>
        </w:rPr>
        <w:t>Informação</w:t>
      </w:r>
      <w:r>
        <w:rPr>
          <w:color w:val="000009"/>
          <w:spacing w:val="-1"/>
          <w:sz w:val="24"/>
        </w:rPr>
        <w:t> </w:t>
      </w:r>
      <w:r>
        <w:rPr>
          <w:color w:val="000009"/>
          <w:sz w:val="24"/>
        </w:rPr>
        <w:t>(PDTI).</w:t>
      </w:r>
    </w:p>
    <w:p>
      <w:pPr>
        <w:pStyle w:val="BodyText"/>
        <w:spacing w:before="6"/>
        <w:rPr>
          <w:sz w:val="36"/>
        </w:rPr>
      </w:pPr>
    </w:p>
    <w:p>
      <w:pPr>
        <w:pStyle w:val="BodyText"/>
        <w:spacing w:line="276" w:lineRule="auto"/>
        <w:ind w:left="580" w:right="958" w:firstLine="1701"/>
        <w:jc w:val="both"/>
      </w:pPr>
      <w:r>
        <w:rPr/>
        <w:t>O Plano Diretor de Tecnologia da Informação (PDTI) tem por objetivo prover a Universidade de um instrumento de diagnóstico, planejamento e gestão dos recursos e processos da Tecnologia da </w:t>
      </w:r>
      <w:r>
        <w:rPr>
          <w:color w:val="000009"/>
        </w:rPr>
        <w:t>Informação, </w:t>
      </w:r>
      <w:r>
        <w:rPr/>
        <w:t>proporcionando a evolução da área de TI da condição de apoio operacional à condição de apoio estratégico à gestão.</w:t>
      </w:r>
    </w:p>
    <w:p>
      <w:pPr>
        <w:pStyle w:val="BodyText"/>
        <w:spacing w:before="7"/>
        <w:rPr>
          <w:sz w:val="27"/>
        </w:rPr>
      </w:pPr>
    </w:p>
    <w:p>
      <w:pPr>
        <w:pStyle w:val="BodyText"/>
        <w:spacing w:line="276" w:lineRule="auto"/>
        <w:ind w:left="580" w:right="953" w:firstLine="1701"/>
        <w:jc w:val="both"/>
      </w:pPr>
      <w:r>
        <w:rPr/>
        <w:t>O PDTI 2016, atualmente vigente, consiste no Aditamento do PDTI 2013- 2015.Odocumento estabelece para a comunicação a diretriz: fortalecer a comunicação e a integração institucional. Através de consulta à comunidade, foram identificadas algumas dificuldades: dificuldade em encontrar informações sobre serviços, órgãos e servidores, ausência de agenda institucional para controle e desconhecimento dos recursos de TI disponíveis para o favorecimento da comunicação.</w:t>
      </w:r>
    </w:p>
    <w:p>
      <w:pPr>
        <w:pStyle w:val="BodyText"/>
        <w:spacing w:before="8"/>
        <w:rPr>
          <w:sz w:val="27"/>
        </w:rPr>
      </w:pPr>
    </w:p>
    <w:p>
      <w:pPr>
        <w:pStyle w:val="BodyText"/>
        <w:ind w:left="563" w:right="432"/>
        <w:jc w:val="center"/>
      </w:pPr>
      <w:r>
        <w:rPr/>
        <w:t>Nesse contexto, foram estabelecidas as seguintes metas e ações:</w:t>
      </w:r>
    </w:p>
    <w:p>
      <w:pPr>
        <w:pStyle w:val="ListParagraph"/>
        <w:numPr>
          <w:ilvl w:val="0"/>
          <w:numId w:val="5"/>
        </w:numPr>
        <w:tabs>
          <w:tab w:pos="1300" w:val="left" w:leader="none"/>
          <w:tab w:pos="1301" w:val="left" w:leader="none"/>
        </w:tabs>
        <w:spacing w:line="240" w:lineRule="auto" w:before="89" w:after="0"/>
        <w:ind w:left="1300" w:right="0" w:hanging="361"/>
        <w:jc w:val="left"/>
        <w:rPr>
          <w:sz w:val="24"/>
        </w:rPr>
      </w:pPr>
      <w:r>
        <w:rPr>
          <w:sz w:val="24"/>
        </w:rPr>
        <w:t>Meta: implantar páginas Web institucionais</w:t>
      </w:r>
      <w:r>
        <w:rPr>
          <w:spacing w:val="-2"/>
          <w:sz w:val="24"/>
        </w:rPr>
        <w:t> </w:t>
      </w:r>
      <w:r>
        <w:rPr>
          <w:sz w:val="24"/>
        </w:rPr>
        <w:t>(M38);</w:t>
      </w:r>
    </w:p>
    <w:p>
      <w:pPr>
        <w:pStyle w:val="ListParagraph"/>
        <w:numPr>
          <w:ilvl w:val="0"/>
          <w:numId w:val="5"/>
        </w:numPr>
        <w:tabs>
          <w:tab w:pos="1300" w:val="left" w:leader="none"/>
          <w:tab w:pos="1301" w:val="left" w:leader="none"/>
        </w:tabs>
        <w:spacing w:line="240" w:lineRule="auto" w:before="54" w:after="0"/>
        <w:ind w:left="1300" w:right="0" w:hanging="361"/>
        <w:jc w:val="left"/>
        <w:rPr>
          <w:sz w:val="24"/>
        </w:rPr>
      </w:pPr>
      <w:r>
        <w:rPr>
          <w:sz w:val="24"/>
        </w:rPr>
        <w:t>Ação: formalizar e implantar política de comunicação</w:t>
      </w:r>
      <w:r>
        <w:rPr>
          <w:spacing w:val="54"/>
          <w:sz w:val="24"/>
        </w:rPr>
        <w:t> </w:t>
      </w:r>
      <w:r>
        <w:rPr>
          <w:sz w:val="24"/>
        </w:rPr>
        <w:t>(A50);</w:t>
      </w:r>
    </w:p>
    <w:p>
      <w:pPr>
        <w:pStyle w:val="ListParagraph"/>
        <w:numPr>
          <w:ilvl w:val="0"/>
          <w:numId w:val="5"/>
        </w:numPr>
        <w:tabs>
          <w:tab w:pos="1300" w:val="left" w:leader="none"/>
          <w:tab w:pos="1301" w:val="left" w:leader="none"/>
        </w:tabs>
        <w:spacing w:line="240" w:lineRule="auto" w:before="54" w:after="0"/>
        <w:ind w:left="1300" w:right="0" w:hanging="361"/>
        <w:jc w:val="left"/>
        <w:rPr>
          <w:sz w:val="24"/>
        </w:rPr>
      </w:pPr>
      <w:r>
        <w:rPr>
          <w:sz w:val="24"/>
        </w:rPr>
        <w:t>Ação: implantar ambiente para abrigar as páginas Web na plataforma Drupal</w:t>
      </w:r>
      <w:r>
        <w:rPr>
          <w:spacing w:val="52"/>
          <w:sz w:val="24"/>
        </w:rPr>
        <w:t> </w:t>
      </w:r>
      <w:r>
        <w:rPr>
          <w:sz w:val="24"/>
        </w:rPr>
        <w:t>(A53);</w:t>
      </w:r>
    </w:p>
    <w:p>
      <w:pPr>
        <w:pStyle w:val="ListParagraph"/>
        <w:numPr>
          <w:ilvl w:val="0"/>
          <w:numId w:val="5"/>
        </w:numPr>
        <w:tabs>
          <w:tab w:pos="1300" w:val="left" w:leader="none"/>
          <w:tab w:pos="1301" w:val="left" w:leader="none"/>
        </w:tabs>
        <w:spacing w:line="240" w:lineRule="auto" w:before="54" w:after="0"/>
        <w:ind w:left="1300" w:right="0" w:hanging="361"/>
        <w:jc w:val="left"/>
        <w:rPr>
          <w:sz w:val="24"/>
        </w:rPr>
      </w:pPr>
      <w:r>
        <w:rPr>
          <w:sz w:val="24"/>
        </w:rPr>
        <w:t>Ação: integrar portal Web com o </w:t>
      </w:r>
      <w:r>
        <w:rPr>
          <w:color w:val="000009"/>
          <w:sz w:val="24"/>
        </w:rPr>
        <w:t>sistema </w:t>
      </w:r>
      <w:r>
        <w:rPr>
          <w:sz w:val="24"/>
        </w:rPr>
        <w:t>SIG@ (A54);</w:t>
      </w:r>
    </w:p>
    <w:p>
      <w:pPr>
        <w:spacing w:after="0" w:line="240" w:lineRule="auto"/>
        <w:jc w:val="left"/>
        <w:rPr>
          <w:sz w:val="24"/>
        </w:rPr>
        <w:sectPr>
          <w:pgSz w:w="11910" w:h="16840"/>
          <w:pgMar w:header="763" w:footer="488" w:top="1640" w:bottom="680" w:left="860" w:right="480"/>
        </w:sectPr>
      </w:pPr>
    </w:p>
    <w:p>
      <w:pPr>
        <w:pStyle w:val="ListParagraph"/>
        <w:numPr>
          <w:ilvl w:val="0"/>
          <w:numId w:val="5"/>
        </w:numPr>
        <w:tabs>
          <w:tab w:pos="1300" w:val="left" w:leader="none"/>
          <w:tab w:pos="1301" w:val="left" w:leader="none"/>
        </w:tabs>
        <w:spacing w:line="240" w:lineRule="auto" w:before="140" w:after="0"/>
        <w:ind w:left="1300" w:right="0" w:hanging="361"/>
        <w:jc w:val="left"/>
        <w:rPr>
          <w:sz w:val="24"/>
        </w:rPr>
      </w:pPr>
      <w:r>
        <w:rPr>
          <w:sz w:val="24"/>
        </w:rPr>
        <w:t>Ação: descentralizar a atualização do conteúdo das páginas Web</w:t>
      </w:r>
      <w:r>
        <w:rPr>
          <w:spacing w:val="-1"/>
          <w:sz w:val="24"/>
        </w:rPr>
        <w:t> </w:t>
      </w:r>
      <w:r>
        <w:rPr>
          <w:sz w:val="24"/>
        </w:rPr>
        <w:t>(A55);</w:t>
      </w:r>
    </w:p>
    <w:p>
      <w:pPr>
        <w:pStyle w:val="ListParagraph"/>
        <w:numPr>
          <w:ilvl w:val="0"/>
          <w:numId w:val="5"/>
        </w:numPr>
        <w:tabs>
          <w:tab w:pos="1300" w:val="left" w:leader="none"/>
          <w:tab w:pos="1301" w:val="left" w:leader="none"/>
        </w:tabs>
        <w:spacing w:line="240" w:lineRule="auto" w:before="54" w:after="0"/>
        <w:ind w:left="1300" w:right="0" w:hanging="361"/>
        <w:jc w:val="left"/>
        <w:rPr>
          <w:sz w:val="24"/>
        </w:rPr>
      </w:pPr>
      <w:r>
        <w:rPr>
          <w:sz w:val="24"/>
        </w:rPr>
        <w:t>Ação: migrar páginas Web existentes para a nova plataforma</w:t>
      </w:r>
      <w:r>
        <w:rPr>
          <w:spacing w:val="-4"/>
          <w:sz w:val="24"/>
        </w:rPr>
        <w:t> </w:t>
      </w:r>
      <w:r>
        <w:rPr>
          <w:sz w:val="24"/>
        </w:rPr>
        <w:t>(A56).</w:t>
      </w:r>
    </w:p>
    <w:p>
      <w:pPr>
        <w:pStyle w:val="BodyText"/>
        <w:spacing w:before="9"/>
        <w:rPr>
          <w:sz w:val="31"/>
        </w:rPr>
      </w:pPr>
    </w:p>
    <w:p>
      <w:pPr>
        <w:pStyle w:val="ListParagraph"/>
        <w:numPr>
          <w:ilvl w:val="1"/>
          <w:numId w:val="6"/>
        </w:numPr>
        <w:tabs>
          <w:tab w:pos="941" w:val="left" w:leader="none"/>
        </w:tabs>
        <w:spacing w:line="240" w:lineRule="auto" w:before="0" w:after="0"/>
        <w:ind w:left="940" w:right="0" w:hanging="361"/>
        <w:jc w:val="left"/>
        <w:rPr>
          <w:sz w:val="24"/>
        </w:rPr>
      </w:pPr>
      <w:r>
        <w:rPr>
          <w:color w:val="000009"/>
          <w:sz w:val="24"/>
        </w:rPr>
        <w:t>Objetivo</w:t>
      </w:r>
      <w:r>
        <w:rPr>
          <w:color w:val="000009"/>
          <w:spacing w:val="-1"/>
          <w:sz w:val="24"/>
        </w:rPr>
        <w:t> </w:t>
      </w:r>
      <w:r>
        <w:rPr>
          <w:color w:val="000009"/>
          <w:sz w:val="24"/>
        </w:rPr>
        <w:t>Geral.</w:t>
      </w:r>
    </w:p>
    <w:p>
      <w:pPr>
        <w:pStyle w:val="BodyText"/>
        <w:spacing w:before="9"/>
        <w:rPr>
          <w:sz w:val="32"/>
        </w:rPr>
      </w:pPr>
    </w:p>
    <w:p>
      <w:pPr>
        <w:pStyle w:val="BodyText"/>
        <w:ind w:left="580" w:right="961" w:firstLine="1701"/>
        <w:jc w:val="both"/>
      </w:pPr>
      <w:r>
        <w:rPr/>
        <w:t>Promover a abertura de dados da Universidade Federal Rural de Pernambuco, zelando pelos princípios da publicidade, transparência e eficiência, visando ao aumento da disseminação de dados e informações de qualidade para a sociedade, de forma a contribuir com a tomada de decisão pelos gestores públicos e para o controle social, considerando as normas institucionais de segurança da informação.</w:t>
      </w:r>
    </w:p>
    <w:p>
      <w:pPr>
        <w:pStyle w:val="BodyText"/>
        <w:spacing w:before="6"/>
        <w:rPr>
          <w:sz w:val="31"/>
        </w:rPr>
      </w:pPr>
    </w:p>
    <w:p>
      <w:pPr>
        <w:pStyle w:val="ListParagraph"/>
        <w:numPr>
          <w:ilvl w:val="1"/>
          <w:numId w:val="6"/>
        </w:numPr>
        <w:tabs>
          <w:tab w:pos="941" w:val="left" w:leader="none"/>
        </w:tabs>
        <w:spacing w:line="240" w:lineRule="auto" w:before="1" w:after="0"/>
        <w:ind w:left="940" w:right="0" w:hanging="361"/>
        <w:jc w:val="left"/>
        <w:rPr>
          <w:color w:val="000009"/>
          <w:sz w:val="24"/>
        </w:rPr>
      </w:pPr>
      <w:r>
        <w:rPr>
          <w:color w:val="000009"/>
          <w:sz w:val="24"/>
        </w:rPr>
        <w:t>Objetivos</w:t>
      </w:r>
      <w:r>
        <w:rPr>
          <w:color w:val="000009"/>
          <w:spacing w:val="-1"/>
          <w:sz w:val="24"/>
        </w:rPr>
        <w:t> </w:t>
      </w:r>
      <w:r>
        <w:rPr>
          <w:color w:val="000009"/>
          <w:sz w:val="24"/>
        </w:rPr>
        <w:t>Específicos.</w:t>
      </w:r>
    </w:p>
    <w:p>
      <w:pPr>
        <w:pStyle w:val="BodyText"/>
        <w:spacing w:before="3"/>
        <w:rPr>
          <w:sz w:val="36"/>
        </w:rPr>
      </w:pPr>
    </w:p>
    <w:p>
      <w:pPr>
        <w:pStyle w:val="BodyText"/>
        <w:ind w:left="2282"/>
      </w:pPr>
      <w:r>
        <w:rPr/>
        <w:t>Este plano apresenta os seguintes objetivos específicos:</w:t>
      </w:r>
    </w:p>
    <w:p>
      <w:pPr>
        <w:pStyle w:val="BodyText"/>
        <w:spacing w:before="2"/>
        <w:rPr>
          <w:sz w:val="31"/>
        </w:rPr>
      </w:pPr>
    </w:p>
    <w:p>
      <w:pPr>
        <w:pStyle w:val="ListParagraph"/>
        <w:numPr>
          <w:ilvl w:val="2"/>
          <w:numId w:val="6"/>
        </w:numPr>
        <w:tabs>
          <w:tab w:pos="1301" w:val="left" w:leader="none"/>
        </w:tabs>
        <w:spacing w:line="266" w:lineRule="auto" w:before="1" w:after="0"/>
        <w:ind w:left="1300" w:right="961" w:hanging="360"/>
        <w:jc w:val="both"/>
        <w:rPr>
          <w:rFonts w:ascii="Wingdings" w:hAnsi="Wingdings"/>
          <w:sz w:val="28"/>
        </w:rPr>
      </w:pPr>
      <w:r>
        <w:rPr>
          <w:sz w:val="24"/>
        </w:rPr>
        <w:t>Identificar prioridades e disponibilizar dados em formatos abertos e, sempre</w:t>
      </w:r>
      <w:r>
        <w:rPr>
          <w:spacing w:val="42"/>
          <w:sz w:val="24"/>
        </w:rPr>
        <w:t> </w:t>
      </w:r>
      <w:r>
        <w:rPr>
          <w:sz w:val="24"/>
        </w:rPr>
        <w:t>que possível, georreferenciados, de maneira progressiva e</w:t>
      </w:r>
      <w:r>
        <w:rPr>
          <w:spacing w:val="-7"/>
          <w:sz w:val="24"/>
        </w:rPr>
        <w:t> </w:t>
      </w:r>
      <w:r>
        <w:rPr>
          <w:sz w:val="24"/>
        </w:rPr>
        <w:t>sustentável;</w:t>
      </w:r>
    </w:p>
    <w:p>
      <w:pPr>
        <w:pStyle w:val="ListParagraph"/>
        <w:numPr>
          <w:ilvl w:val="2"/>
          <w:numId w:val="6"/>
        </w:numPr>
        <w:tabs>
          <w:tab w:pos="1301" w:val="left" w:leader="none"/>
        </w:tabs>
        <w:spacing w:line="240" w:lineRule="auto" w:before="11" w:after="0"/>
        <w:ind w:left="1300" w:right="0" w:hanging="361"/>
        <w:jc w:val="both"/>
        <w:rPr>
          <w:rFonts w:ascii="Wingdings" w:hAnsi="Wingdings"/>
          <w:sz w:val="28"/>
        </w:rPr>
      </w:pPr>
      <w:r>
        <w:rPr>
          <w:sz w:val="24"/>
        </w:rPr>
        <w:t>Propor ações institucionais de divulgação e de estímulo ao uso dos dados</w:t>
      </w:r>
      <w:r>
        <w:rPr>
          <w:spacing w:val="-6"/>
          <w:sz w:val="24"/>
        </w:rPr>
        <w:t> </w:t>
      </w:r>
      <w:r>
        <w:rPr>
          <w:sz w:val="24"/>
        </w:rPr>
        <w:t>abertos;</w:t>
      </w:r>
    </w:p>
    <w:p>
      <w:pPr>
        <w:pStyle w:val="ListParagraph"/>
        <w:numPr>
          <w:ilvl w:val="2"/>
          <w:numId w:val="6"/>
        </w:numPr>
        <w:tabs>
          <w:tab w:pos="1301" w:val="left" w:leader="none"/>
        </w:tabs>
        <w:spacing w:line="271" w:lineRule="auto" w:before="33" w:after="0"/>
        <w:ind w:left="1300" w:right="957" w:hanging="360"/>
        <w:jc w:val="both"/>
        <w:rPr>
          <w:rFonts w:ascii="Wingdings" w:hAnsi="Wingdings"/>
          <w:color w:val="000009"/>
          <w:sz w:val="28"/>
        </w:rPr>
      </w:pPr>
      <w:r>
        <w:rPr>
          <w:color w:val="000009"/>
          <w:sz w:val="24"/>
        </w:rPr>
        <w:t>Estimular e promover a interoperabilidade de dados e sistemas governamentais pela publicação de dados, em formato processável por máquina, conforme padrões estabelecidos;</w:t>
      </w:r>
    </w:p>
    <w:p>
      <w:pPr>
        <w:pStyle w:val="ListParagraph"/>
        <w:numPr>
          <w:ilvl w:val="2"/>
          <w:numId w:val="6"/>
        </w:numPr>
        <w:tabs>
          <w:tab w:pos="1301" w:val="left" w:leader="none"/>
        </w:tabs>
        <w:spacing w:line="240" w:lineRule="auto" w:before="6" w:after="0"/>
        <w:ind w:left="1300" w:right="0" w:hanging="361"/>
        <w:jc w:val="left"/>
        <w:rPr>
          <w:rFonts w:ascii="Wingdings" w:hAnsi="Wingdings"/>
          <w:sz w:val="28"/>
        </w:rPr>
      </w:pPr>
      <w:r>
        <w:rPr>
          <w:sz w:val="24"/>
        </w:rPr>
        <w:t>Melhorar a gestão da informação e de dados da</w:t>
      </w:r>
      <w:r>
        <w:rPr>
          <w:spacing w:val="-4"/>
          <w:sz w:val="24"/>
        </w:rPr>
        <w:t> </w:t>
      </w:r>
      <w:r>
        <w:rPr>
          <w:sz w:val="24"/>
        </w:rPr>
        <w:t>instituição;</w:t>
      </w:r>
    </w:p>
    <w:p>
      <w:pPr>
        <w:pStyle w:val="ListParagraph"/>
        <w:numPr>
          <w:ilvl w:val="2"/>
          <w:numId w:val="6"/>
        </w:numPr>
        <w:tabs>
          <w:tab w:pos="1301" w:val="left" w:leader="none"/>
        </w:tabs>
        <w:spacing w:line="240" w:lineRule="auto" w:before="33" w:after="0"/>
        <w:ind w:left="1300" w:right="0" w:hanging="361"/>
        <w:jc w:val="left"/>
        <w:rPr>
          <w:rFonts w:ascii="Wingdings" w:hAnsi="Wingdings"/>
          <w:sz w:val="28"/>
        </w:rPr>
      </w:pPr>
      <w:r>
        <w:rPr>
          <w:sz w:val="24"/>
        </w:rPr>
        <w:t>Incrementar os processos de transparência e de acesso a informações</w:t>
      </w:r>
      <w:r>
        <w:rPr>
          <w:spacing w:val="-3"/>
          <w:sz w:val="24"/>
        </w:rPr>
        <w:t> </w:t>
      </w:r>
      <w:r>
        <w:rPr>
          <w:sz w:val="24"/>
        </w:rPr>
        <w:t>públicas;</w:t>
      </w:r>
    </w:p>
    <w:p>
      <w:pPr>
        <w:pStyle w:val="ListParagraph"/>
        <w:numPr>
          <w:ilvl w:val="2"/>
          <w:numId w:val="6"/>
        </w:numPr>
        <w:tabs>
          <w:tab w:pos="1301" w:val="left" w:leader="none"/>
        </w:tabs>
        <w:spacing w:line="240" w:lineRule="auto" w:before="35" w:after="0"/>
        <w:ind w:left="1300" w:right="0" w:hanging="361"/>
        <w:jc w:val="left"/>
        <w:rPr>
          <w:rFonts w:ascii="Wingdings" w:hAnsi="Wingdings"/>
          <w:sz w:val="28"/>
        </w:rPr>
      </w:pPr>
      <w:r>
        <w:rPr>
          <w:sz w:val="24"/>
        </w:rPr>
        <w:t>Facilitar o acesso aos dados</w:t>
      </w:r>
      <w:r>
        <w:rPr>
          <w:spacing w:val="2"/>
          <w:sz w:val="24"/>
        </w:rPr>
        <w:t> </w:t>
      </w:r>
      <w:r>
        <w:rPr>
          <w:sz w:val="24"/>
        </w:rPr>
        <w:t>divulgados;</w:t>
      </w:r>
    </w:p>
    <w:p>
      <w:pPr>
        <w:pStyle w:val="ListParagraph"/>
        <w:numPr>
          <w:ilvl w:val="2"/>
          <w:numId w:val="6"/>
        </w:numPr>
        <w:tabs>
          <w:tab w:pos="1301" w:val="left" w:leader="none"/>
        </w:tabs>
        <w:spacing w:line="240" w:lineRule="auto" w:before="34" w:after="0"/>
        <w:ind w:left="1300" w:right="0" w:hanging="361"/>
        <w:jc w:val="left"/>
        <w:rPr>
          <w:rFonts w:ascii="Wingdings" w:hAnsi="Wingdings"/>
          <w:sz w:val="28"/>
        </w:rPr>
      </w:pPr>
      <w:r>
        <w:rPr>
          <w:sz w:val="24"/>
        </w:rPr>
        <w:t>Melhorar a qualidade dos dados</w:t>
      </w:r>
      <w:r>
        <w:rPr>
          <w:spacing w:val="-2"/>
          <w:sz w:val="24"/>
        </w:rPr>
        <w:t> </w:t>
      </w:r>
      <w:r>
        <w:rPr>
          <w:sz w:val="24"/>
        </w:rPr>
        <w:t>disponibilizados</w:t>
      </w:r>
    </w:p>
    <w:p>
      <w:pPr>
        <w:spacing w:after="0" w:line="240" w:lineRule="auto"/>
        <w:jc w:val="left"/>
        <w:rPr>
          <w:rFonts w:ascii="Wingdings" w:hAnsi="Wingdings"/>
          <w:sz w:val="28"/>
        </w:rPr>
        <w:sectPr>
          <w:pgSz w:w="11910" w:h="16840"/>
          <w:pgMar w:header="763" w:footer="488" w:top="1640" w:bottom="680" w:left="860" w:right="480"/>
        </w:sectPr>
      </w:pPr>
    </w:p>
    <w:p>
      <w:pPr>
        <w:pStyle w:val="Heading1"/>
        <w:numPr>
          <w:ilvl w:val="0"/>
          <w:numId w:val="3"/>
        </w:numPr>
        <w:tabs>
          <w:tab w:pos="821" w:val="left" w:leader="none"/>
        </w:tabs>
        <w:spacing w:line="240" w:lineRule="auto" w:before="94" w:after="0"/>
        <w:ind w:left="820" w:right="0" w:hanging="241"/>
        <w:jc w:val="left"/>
      </w:pPr>
      <w:bookmarkStart w:name="_TOC_250006" w:id="3"/>
      <w:r>
        <w:rPr>
          <w:color w:val="000009"/>
        </w:rPr>
        <w:t>Definição dos Dados a Serem</w:t>
      </w:r>
      <w:r>
        <w:rPr>
          <w:color w:val="000009"/>
          <w:spacing w:val="-7"/>
        </w:rPr>
        <w:t> </w:t>
      </w:r>
      <w:bookmarkEnd w:id="3"/>
      <w:r>
        <w:rPr>
          <w:color w:val="000009"/>
        </w:rPr>
        <w:t>Abertos.</w:t>
      </w:r>
    </w:p>
    <w:p>
      <w:pPr>
        <w:pStyle w:val="BodyText"/>
        <w:spacing w:before="1"/>
        <w:rPr>
          <w:b/>
          <w:sz w:val="31"/>
        </w:rPr>
      </w:pPr>
    </w:p>
    <w:p>
      <w:pPr>
        <w:pStyle w:val="BodyText"/>
        <w:spacing w:line="276" w:lineRule="auto"/>
        <w:ind w:left="580" w:right="959" w:firstLine="1701"/>
        <w:jc w:val="both"/>
      </w:pPr>
      <w:r>
        <w:rPr/>
        <w:t>Esta seção enumera os critérios a serem utilizados para definição dos dados da UFRPE que devem ser abertos, bem como apresenta diretrizes de como tal abertura deve ser priorizada. É importante ressaltar que a abertura de dados deve, sobretudo, garantir os princípios da publicidade e da transparência da administração pública, respeitadas as restrições previstas aos dados sob restrição de acesso nos termos da Lei nº 12.527, de 18 de novembro de 2011. Para se estabelecer as metas de abertura de dados e etapas de todo processo, deve-se levar em consideração os seguintes aspectos:</w:t>
      </w:r>
    </w:p>
    <w:p>
      <w:pPr>
        <w:pStyle w:val="BodyText"/>
        <w:spacing w:before="10"/>
        <w:rPr>
          <w:sz w:val="31"/>
        </w:rPr>
      </w:pPr>
    </w:p>
    <w:p>
      <w:pPr>
        <w:pStyle w:val="ListParagraph"/>
        <w:numPr>
          <w:ilvl w:val="0"/>
          <w:numId w:val="7"/>
        </w:numPr>
        <w:tabs>
          <w:tab w:pos="2740" w:val="left" w:leader="none"/>
          <w:tab w:pos="2741" w:val="left" w:leader="none"/>
        </w:tabs>
        <w:spacing w:line="276" w:lineRule="auto" w:before="0" w:after="0"/>
        <w:ind w:left="580" w:right="959" w:firstLine="1701"/>
        <w:jc w:val="left"/>
        <w:rPr>
          <w:b/>
          <w:sz w:val="24"/>
        </w:rPr>
      </w:pPr>
      <w:r>
        <w:rPr>
          <w:b/>
          <w:sz w:val="24"/>
        </w:rPr>
        <w:t>Priorização dos dados considerados mais relevantes para o cidadão, em</w:t>
      </w:r>
      <w:r>
        <w:rPr>
          <w:b/>
          <w:spacing w:val="-5"/>
          <w:sz w:val="24"/>
        </w:rPr>
        <w:t> </w:t>
      </w:r>
      <w:r>
        <w:rPr>
          <w:b/>
          <w:sz w:val="24"/>
        </w:rPr>
        <w:t>particular:</w:t>
      </w:r>
    </w:p>
    <w:p>
      <w:pPr>
        <w:pStyle w:val="BodyText"/>
        <w:rPr>
          <w:b/>
          <w:sz w:val="26"/>
        </w:rPr>
      </w:pPr>
    </w:p>
    <w:p>
      <w:pPr>
        <w:pStyle w:val="BodyText"/>
        <w:spacing w:before="5"/>
        <w:rPr>
          <w:b/>
          <w:sz w:val="32"/>
        </w:rPr>
      </w:pPr>
    </w:p>
    <w:p>
      <w:pPr>
        <w:pStyle w:val="ListParagraph"/>
        <w:numPr>
          <w:ilvl w:val="1"/>
          <w:numId w:val="3"/>
        </w:numPr>
        <w:tabs>
          <w:tab w:pos="1301" w:val="left" w:leader="none"/>
        </w:tabs>
        <w:spacing w:line="268" w:lineRule="auto" w:before="0" w:after="0"/>
        <w:ind w:left="1300" w:right="955" w:hanging="360"/>
        <w:jc w:val="both"/>
        <w:rPr>
          <w:rFonts w:ascii="Wingdings" w:hAnsi="Wingdings"/>
          <w:sz w:val="28"/>
        </w:rPr>
      </w:pPr>
      <w:r>
        <w:rPr>
          <w:sz w:val="24"/>
        </w:rPr>
        <w:t>Dados relacionados às demandas encaminhadas via o sistema e-SIC, bem como os setores e serviços mais procurados nos sítios eletrônicos do</w:t>
      </w:r>
      <w:r>
        <w:rPr>
          <w:spacing w:val="-3"/>
          <w:sz w:val="24"/>
        </w:rPr>
        <w:t> </w:t>
      </w:r>
      <w:r>
        <w:rPr>
          <w:sz w:val="24"/>
        </w:rPr>
        <w:t>órgão.</w:t>
      </w:r>
    </w:p>
    <w:p>
      <w:pPr>
        <w:pStyle w:val="ListParagraph"/>
        <w:numPr>
          <w:ilvl w:val="1"/>
          <w:numId w:val="3"/>
        </w:numPr>
        <w:tabs>
          <w:tab w:pos="1301" w:val="left" w:leader="none"/>
        </w:tabs>
        <w:spacing w:line="240" w:lineRule="auto" w:before="5" w:after="0"/>
        <w:ind w:left="1300" w:right="0" w:hanging="361"/>
        <w:jc w:val="both"/>
        <w:rPr>
          <w:rFonts w:ascii="Wingdings" w:hAnsi="Wingdings"/>
          <w:sz w:val="28"/>
        </w:rPr>
      </w:pPr>
      <w:r>
        <w:rPr>
          <w:sz w:val="24"/>
        </w:rPr>
        <w:t>Dados já publicados no Portal da Transparência da</w:t>
      </w:r>
      <w:r>
        <w:rPr>
          <w:spacing w:val="-3"/>
          <w:sz w:val="24"/>
        </w:rPr>
        <w:t> </w:t>
      </w:r>
      <w:r>
        <w:rPr>
          <w:sz w:val="24"/>
        </w:rPr>
        <w:t>instituição.</w:t>
      </w:r>
    </w:p>
    <w:p>
      <w:pPr>
        <w:pStyle w:val="ListParagraph"/>
        <w:numPr>
          <w:ilvl w:val="1"/>
          <w:numId w:val="3"/>
        </w:numPr>
        <w:tabs>
          <w:tab w:pos="1301" w:val="left" w:leader="none"/>
        </w:tabs>
        <w:spacing w:line="266" w:lineRule="auto" w:before="35" w:after="0"/>
        <w:ind w:left="1300" w:right="960" w:hanging="360"/>
        <w:jc w:val="both"/>
        <w:rPr>
          <w:rFonts w:ascii="Wingdings" w:hAnsi="Wingdings"/>
          <w:sz w:val="28"/>
        </w:rPr>
      </w:pPr>
      <w:r>
        <w:rPr>
          <w:sz w:val="24"/>
        </w:rPr>
        <w:t>Dados considerados relevantes, principalmente os presentes nas páginas mais acessadas nos sítios eletrônicos da UFRPE e/ou de suas unidades</w:t>
      </w:r>
      <w:r>
        <w:rPr>
          <w:spacing w:val="-8"/>
          <w:sz w:val="24"/>
        </w:rPr>
        <w:t> </w:t>
      </w:r>
      <w:r>
        <w:rPr>
          <w:sz w:val="24"/>
        </w:rPr>
        <w:t>administrativas.</w:t>
      </w:r>
    </w:p>
    <w:p>
      <w:pPr>
        <w:pStyle w:val="ListParagraph"/>
        <w:numPr>
          <w:ilvl w:val="1"/>
          <w:numId w:val="3"/>
        </w:numPr>
        <w:tabs>
          <w:tab w:pos="1301" w:val="left" w:leader="none"/>
        </w:tabs>
        <w:spacing w:line="266" w:lineRule="auto" w:before="12" w:after="0"/>
        <w:ind w:left="1300" w:right="962" w:hanging="360"/>
        <w:jc w:val="both"/>
        <w:rPr>
          <w:rFonts w:ascii="Wingdings" w:hAnsi="Wingdings"/>
          <w:sz w:val="28"/>
        </w:rPr>
      </w:pPr>
      <w:r>
        <w:rPr>
          <w:sz w:val="24"/>
        </w:rPr>
        <w:t>Dados com potencial de habilitar o desenvolvimento de iniciativas (e.g., aplicações, projetos de pesquisa) que beneficiarão as comunidades universitária e/ou</w:t>
      </w:r>
      <w:r>
        <w:rPr>
          <w:spacing w:val="-6"/>
          <w:sz w:val="24"/>
        </w:rPr>
        <w:t> </w:t>
      </w:r>
      <w:r>
        <w:rPr>
          <w:sz w:val="24"/>
        </w:rPr>
        <w:t>externa.</w:t>
      </w:r>
    </w:p>
    <w:p>
      <w:pPr>
        <w:pStyle w:val="ListParagraph"/>
        <w:numPr>
          <w:ilvl w:val="1"/>
          <w:numId w:val="3"/>
        </w:numPr>
        <w:tabs>
          <w:tab w:pos="1301" w:val="left" w:leader="none"/>
        </w:tabs>
        <w:spacing w:line="273" w:lineRule="auto" w:before="8" w:after="0"/>
        <w:ind w:left="1300" w:right="959" w:hanging="360"/>
        <w:jc w:val="both"/>
        <w:rPr>
          <w:rFonts w:ascii="Wingdings" w:hAnsi="Wingdings"/>
          <w:sz w:val="28"/>
        </w:rPr>
      </w:pPr>
      <w:r>
        <w:rPr>
          <w:sz w:val="24"/>
        </w:rPr>
        <w:t>Dados que não estejam sob restrição de acesso nos termos da Lei nº 12.527 de 2011, armazenados nos sistemas de informação usados na instituição. Serão priorizados preferencialmente os dados que já se encontram disponíveis em áreas públicas dos sistemas, bem como aqueles relacionados às funcionalidades notadamente mais acessadas nos</w:t>
      </w:r>
      <w:r>
        <w:rPr>
          <w:spacing w:val="-1"/>
          <w:sz w:val="24"/>
        </w:rPr>
        <w:t> </w:t>
      </w:r>
      <w:r>
        <w:rPr>
          <w:sz w:val="24"/>
        </w:rPr>
        <w:t>sistemas.</w:t>
      </w:r>
    </w:p>
    <w:p>
      <w:pPr>
        <w:pStyle w:val="ListParagraph"/>
        <w:numPr>
          <w:ilvl w:val="1"/>
          <w:numId w:val="3"/>
        </w:numPr>
        <w:tabs>
          <w:tab w:pos="1301" w:val="left" w:leader="none"/>
        </w:tabs>
        <w:spacing w:line="268" w:lineRule="auto" w:before="3" w:after="0"/>
        <w:ind w:left="1300" w:right="964" w:hanging="360"/>
        <w:jc w:val="both"/>
        <w:rPr>
          <w:rFonts w:ascii="Wingdings" w:hAnsi="Wingdings"/>
          <w:sz w:val="28"/>
        </w:rPr>
      </w:pPr>
      <w:r>
        <w:rPr>
          <w:sz w:val="24"/>
        </w:rPr>
        <w:t>Dados relacionados às principais necessidades das comunidades interna e externa à UFRPE, as quais forem apontadas em eventuais consultas</w:t>
      </w:r>
      <w:r>
        <w:rPr>
          <w:spacing w:val="-2"/>
          <w:sz w:val="24"/>
        </w:rPr>
        <w:t> </w:t>
      </w:r>
      <w:r>
        <w:rPr>
          <w:sz w:val="24"/>
        </w:rPr>
        <w:t>públicas.</w:t>
      </w:r>
    </w:p>
    <w:p>
      <w:pPr>
        <w:pStyle w:val="BodyText"/>
        <w:spacing w:before="1"/>
        <w:rPr>
          <w:sz w:val="32"/>
        </w:rPr>
      </w:pPr>
    </w:p>
    <w:p>
      <w:pPr>
        <w:pStyle w:val="ListParagraph"/>
        <w:numPr>
          <w:ilvl w:val="0"/>
          <w:numId w:val="7"/>
        </w:numPr>
        <w:tabs>
          <w:tab w:pos="2607" w:val="left" w:leader="none"/>
        </w:tabs>
        <w:spacing w:line="240" w:lineRule="auto" w:before="0" w:after="0"/>
        <w:ind w:left="580" w:right="962" w:firstLine="1701"/>
        <w:jc w:val="left"/>
        <w:rPr>
          <w:b/>
          <w:sz w:val="24"/>
        </w:rPr>
      </w:pPr>
      <w:r>
        <w:rPr>
          <w:b/>
          <w:sz w:val="24"/>
        </w:rPr>
        <w:t>Normativos legais e compromissos formalmente assumidos pela UFRPE, em</w:t>
      </w:r>
      <w:r>
        <w:rPr>
          <w:b/>
          <w:spacing w:val="-5"/>
          <w:sz w:val="24"/>
        </w:rPr>
        <w:t> </w:t>
      </w:r>
      <w:r>
        <w:rPr>
          <w:b/>
          <w:sz w:val="24"/>
        </w:rPr>
        <w:t>especial:</w:t>
      </w:r>
    </w:p>
    <w:p>
      <w:pPr>
        <w:pStyle w:val="BodyText"/>
        <w:rPr>
          <w:b/>
          <w:sz w:val="26"/>
        </w:rPr>
      </w:pPr>
    </w:p>
    <w:p>
      <w:pPr>
        <w:pStyle w:val="BodyText"/>
        <w:rPr>
          <w:b/>
          <w:sz w:val="29"/>
        </w:rPr>
      </w:pPr>
    </w:p>
    <w:p>
      <w:pPr>
        <w:pStyle w:val="ListParagraph"/>
        <w:numPr>
          <w:ilvl w:val="1"/>
          <w:numId w:val="3"/>
        </w:numPr>
        <w:tabs>
          <w:tab w:pos="1301" w:val="left" w:leader="none"/>
        </w:tabs>
        <w:spacing w:line="271" w:lineRule="auto" w:before="0" w:after="0"/>
        <w:ind w:left="1300" w:right="957" w:hanging="360"/>
        <w:jc w:val="both"/>
        <w:rPr>
          <w:rFonts w:ascii="Wingdings" w:hAnsi="Wingdings"/>
          <w:sz w:val="28"/>
        </w:rPr>
      </w:pPr>
      <w:r>
        <w:rPr>
          <w:sz w:val="24"/>
        </w:rPr>
        <w:t>A adequação de informações presentes no Portal da Transparência para o formato de dados abertos, de modo a se adequarem aos requisitos de abertura de bases de dados definidos no Decreto nº 8.777, de</w:t>
      </w:r>
      <w:r>
        <w:rPr>
          <w:spacing w:val="-2"/>
          <w:sz w:val="24"/>
        </w:rPr>
        <w:t> </w:t>
      </w:r>
      <w:r>
        <w:rPr>
          <w:sz w:val="24"/>
        </w:rPr>
        <w:t>2016.</w:t>
      </w:r>
    </w:p>
    <w:p>
      <w:pPr>
        <w:pStyle w:val="ListParagraph"/>
        <w:numPr>
          <w:ilvl w:val="1"/>
          <w:numId w:val="3"/>
        </w:numPr>
        <w:tabs>
          <w:tab w:pos="1301" w:val="left" w:leader="none"/>
        </w:tabs>
        <w:spacing w:line="271" w:lineRule="auto" w:before="5" w:after="0"/>
        <w:ind w:left="1300" w:right="955" w:hanging="360"/>
        <w:jc w:val="both"/>
        <w:rPr>
          <w:rFonts w:ascii="Wingdings" w:hAnsi="Wingdings"/>
          <w:sz w:val="28"/>
        </w:rPr>
      </w:pPr>
      <w:r>
        <w:rPr>
          <w:sz w:val="24"/>
        </w:rPr>
        <w:t>A aderência aos padrões e boas práticas estabelecidas por organismos internacionais como, por exemplo, os padrões definidos pelo </w:t>
      </w:r>
      <w:r>
        <w:rPr>
          <w:i/>
          <w:sz w:val="24"/>
        </w:rPr>
        <w:t>Open GovernmentPartnership </w:t>
      </w:r>
      <w:r>
        <w:rPr>
          <w:sz w:val="24"/>
        </w:rPr>
        <w:t>(OGP) e as normas especificadas pela Infraestrutura Nacional de Dados Abertos</w:t>
      </w:r>
      <w:r>
        <w:rPr>
          <w:spacing w:val="-4"/>
          <w:sz w:val="24"/>
        </w:rPr>
        <w:t> </w:t>
      </w:r>
      <w:r>
        <w:rPr>
          <w:sz w:val="24"/>
        </w:rPr>
        <w:t>(INDA).</w:t>
      </w:r>
    </w:p>
    <w:p>
      <w:pPr>
        <w:pStyle w:val="ListParagraph"/>
        <w:numPr>
          <w:ilvl w:val="1"/>
          <w:numId w:val="3"/>
        </w:numPr>
        <w:tabs>
          <w:tab w:pos="1301" w:val="left" w:leader="none"/>
        </w:tabs>
        <w:spacing w:line="271" w:lineRule="auto" w:before="7" w:after="0"/>
        <w:ind w:left="1300" w:right="963" w:hanging="360"/>
        <w:jc w:val="both"/>
        <w:rPr>
          <w:rFonts w:ascii="Wingdings" w:hAnsi="Wingdings"/>
          <w:sz w:val="28"/>
        </w:rPr>
      </w:pPr>
      <w:r>
        <w:rPr>
          <w:sz w:val="24"/>
        </w:rPr>
        <w:t>O alinhamento perante o Planejamento Estratégico Institucional (PEI) e os planejamentos setoriais, bem como os relacionados às áreas de tecnologia da informação.</w:t>
      </w:r>
    </w:p>
    <w:p>
      <w:pPr>
        <w:spacing w:after="0" w:line="271" w:lineRule="auto"/>
        <w:jc w:val="both"/>
        <w:rPr>
          <w:rFonts w:ascii="Wingdings" w:hAnsi="Wingdings"/>
          <w:sz w:val="28"/>
        </w:rPr>
        <w:sectPr>
          <w:pgSz w:w="11910" w:h="16840"/>
          <w:pgMar w:header="763" w:footer="488" w:top="1640" w:bottom="680" w:left="860" w:right="480"/>
        </w:sectPr>
      </w:pPr>
    </w:p>
    <w:p>
      <w:pPr>
        <w:pStyle w:val="ListParagraph"/>
        <w:numPr>
          <w:ilvl w:val="0"/>
          <w:numId w:val="7"/>
        </w:numPr>
        <w:tabs>
          <w:tab w:pos="2741" w:val="left" w:leader="none"/>
        </w:tabs>
        <w:spacing w:line="240" w:lineRule="auto" w:before="96" w:after="0"/>
        <w:ind w:left="2741" w:right="0" w:hanging="459"/>
        <w:jc w:val="both"/>
        <w:rPr>
          <w:b/>
          <w:sz w:val="24"/>
        </w:rPr>
      </w:pPr>
      <w:r>
        <w:rPr>
          <w:b/>
          <w:sz w:val="24"/>
        </w:rPr>
        <w:t>Automatização e uso de</w:t>
      </w:r>
      <w:r>
        <w:rPr>
          <w:b/>
          <w:spacing w:val="-1"/>
          <w:sz w:val="24"/>
        </w:rPr>
        <w:t> </w:t>
      </w:r>
      <w:r>
        <w:rPr>
          <w:b/>
          <w:sz w:val="24"/>
        </w:rPr>
        <w:t>APIs.</w:t>
      </w:r>
    </w:p>
    <w:p>
      <w:pPr>
        <w:pStyle w:val="ListParagraph"/>
        <w:numPr>
          <w:ilvl w:val="1"/>
          <w:numId w:val="3"/>
        </w:numPr>
        <w:tabs>
          <w:tab w:pos="1361" w:val="left" w:leader="none"/>
        </w:tabs>
        <w:spacing w:line="273" w:lineRule="auto" w:before="98" w:after="0"/>
        <w:ind w:left="1300" w:right="961" w:hanging="360"/>
        <w:jc w:val="both"/>
        <w:rPr>
          <w:rFonts w:ascii="Wingdings" w:hAnsi="Wingdings"/>
          <w:sz w:val="28"/>
        </w:rPr>
      </w:pPr>
      <w:r>
        <w:rPr/>
        <w:tab/>
      </w:r>
      <w:r>
        <w:rPr>
          <w:sz w:val="24"/>
        </w:rPr>
        <w:t>Como forma de garantir e agilizar as atualizações periódicas, aumentar a qualidade, a possibilidade de monitoramento e controle, e diminuir o trabalho manual e a possibilidade de erros operacionais, os dados deverão ser publicados através de processos automatizados, preferencialmente.</w:t>
      </w:r>
    </w:p>
    <w:p>
      <w:pPr>
        <w:pStyle w:val="ListParagraph"/>
        <w:numPr>
          <w:ilvl w:val="1"/>
          <w:numId w:val="3"/>
        </w:numPr>
        <w:tabs>
          <w:tab w:pos="1301" w:val="left" w:leader="none"/>
        </w:tabs>
        <w:spacing w:line="271" w:lineRule="auto" w:before="0" w:after="0"/>
        <w:ind w:left="1300" w:right="957" w:hanging="360"/>
        <w:jc w:val="both"/>
        <w:rPr>
          <w:rFonts w:ascii="Wingdings" w:hAnsi="Wingdings"/>
          <w:sz w:val="28"/>
        </w:rPr>
      </w:pPr>
      <w:r>
        <w:rPr>
          <w:sz w:val="24"/>
        </w:rPr>
        <w:t>A disponibilização dos dados através de Interfaces de Programação de Aplicativo (APIs) - do inglês, </w:t>
      </w:r>
      <w:r>
        <w:rPr>
          <w:i/>
          <w:sz w:val="24"/>
        </w:rPr>
        <w:t>ApplicationProgram Interfaces </w:t>
      </w:r>
      <w:r>
        <w:rPr>
          <w:sz w:val="24"/>
        </w:rPr>
        <w:t>- deve ser priorizada, como forma de facilitar o consumo de tais dados por programas</w:t>
      </w:r>
      <w:r>
        <w:rPr>
          <w:spacing w:val="-2"/>
          <w:sz w:val="24"/>
        </w:rPr>
        <w:t> </w:t>
      </w:r>
      <w:r>
        <w:rPr>
          <w:sz w:val="24"/>
        </w:rPr>
        <w:t>(</w:t>
      </w:r>
      <w:r>
        <w:rPr>
          <w:i/>
          <w:sz w:val="24"/>
        </w:rPr>
        <w:t>software</w:t>
      </w:r>
      <w:r>
        <w:rPr>
          <w:sz w:val="24"/>
        </w:rPr>
        <w:t>)/máquinas.</w:t>
      </w:r>
    </w:p>
    <w:p>
      <w:pPr>
        <w:pStyle w:val="BodyText"/>
        <w:spacing w:before="6"/>
        <w:rPr>
          <w:sz w:val="28"/>
        </w:rPr>
      </w:pPr>
    </w:p>
    <w:p>
      <w:pPr>
        <w:pStyle w:val="ListParagraph"/>
        <w:numPr>
          <w:ilvl w:val="0"/>
          <w:numId w:val="7"/>
        </w:numPr>
        <w:tabs>
          <w:tab w:pos="2522" w:val="left" w:leader="none"/>
        </w:tabs>
        <w:spacing w:line="240" w:lineRule="auto" w:before="0" w:after="0"/>
        <w:ind w:left="2522" w:right="0" w:hanging="240"/>
        <w:jc w:val="both"/>
        <w:rPr>
          <w:b/>
          <w:color w:val="000009"/>
          <w:sz w:val="24"/>
        </w:rPr>
      </w:pPr>
      <w:r>
        <w:rPr>
          <w:b/>
          <w:color w:val="000009"/>
          <w:sz w:val="24"/>
        </w:rPr>
        <w:t>Estratégias para</w:t>
      </w:r>
      <w:r>
        <w:rPr>
          <w:b/>
          <w:color w:val="000009"/>
          <w:spacing w:val="-1"/>
          <w:sz w:val="24"/>
        </w:rPr>
        <w:t> </w:t>
      </w:r>
      <w:r>
        <w:rPr>
          <w:b/>
          <w:color w:val="000009"/>
          <w:sz w:val="24"/>
        </w:rPr>
        <w:t>Abertura.</w:t>
      </w:r>
    </w:p>
    <w:p>
      <w:pPr>
        <w:pStyle w:val="BodyText"/>
        <w:spacing w:before="5"/>
        <w:rPr>
          <w:b/>
          <w:sz w:val="34"/>
        </w:rPr>
      </w:pPr>
    </w:p>
    <w:p>
      <w:pPr>
        <w:pStyle w:val="BodyText"/>
        <w:ind w:left="2282"/>
      </w:pPr>
      <w:r>
        <w:rPr/>
        <w:t>O processo de abertura dos dados deve seguir os passos abaixo:</w:t>
      </w:r>
    </w:p>
    <w:p>
      <w:pPr>
        <w:pStyle w:val="ListParagraph"/>
        <w:numPr>
          <w:ilvl w:val="0"/>
          <w:numId w:val="8"/>
        </w:numPr>
        <w:tabs>
          <w:tab w:pos="1301" w:val="left" w:leader="none"/>
        </w:tabs>
        <w:spacing w:line="264" w:lineRule="auto" w:before="39" w:after="0"/>
        <w:ind w:left="1300" w:right="963" w:hanging="360"/>
        <w:jc w:val="left"/>
        <w:rPr>
          <w:sz w:val="24"/>
        </w:rPr>
      </w:pPr>
      <w:r>
        <w:rPr>
          <w:sz w:val="24"/>
        </w:rPr>
        <w:t>Identificação dos conjuntos de dados candidatos à abertura, de acordo com as diretrizes estabelecidas neste</w:t>
      </w:r>
      <w:r>
        <w:rPr>
          <w:spacing w:val="-1"/>
          <w:sz w:val="24"/>
        </w:rPr>
        <w:t> </w:t>
      </w:r>
      <w:r>
        <w:rPr>
          <w:sz w:val="24"/>
        </w:rPr>
        <w:t>PDA.</w:t>
      </w:r>
    </w:p>
    <w:p>
      <w:pPr>
        <w:pStyle w:val="ListParagraph"/>
        <w:numPr>
          <w:ilvl w:val="0"/>
          <w:numId w:val="8"/>
        </w:numPr>
        <w:tabs>
          <w:tab w:pos="1301" w:val="left" w:leader="none"/>
        </w:tabs>
        <w:spacing w:line="240" w:lineRule="auto" w:before="13" w:after="0"/>
        <w:ind w:left="1300" w:right="0" w:hanging="361"/>
        <w:jc w:val="left"/>
        <w:rPr>
          <w:sz w:val="24"/>
        </w:rPr>
      </w:pPr>
      <w:r>
        <w:rPr>
          <w:sz w:val="24"/>
        </w:rPr>
        <w:t>Priorização e seleção dos dados que serão</w:t>
      </w:r>
      <w:r>
        <w:rPr>
          <w:spacing w:val="-1"/>
          <w:sz w:val="24"/>
        </w:rPr>
        <w:t> </w:t>
      </w:r>
      <w:r>
        <w:rPr>
          <w:sz w:val="24"/>
        </w:rPr>
        <w:t>abertos;</w:t>
      </w:r>
    </w:p>
    <w:p>
      <w:pPr>
        <w:pStyle w:val="ListParagraph"/>
        <w:numPr>
          <w:ilvl w:val="0"/>
          <w:numId w:val="8"/>
        </w:numPr>
        <w:tabs>
          <w:tab w:pos="1301" w:val="left" w:leader="none"/>
        </w:tabs>
        <w:spacing w:line="261" w:lineRule="auto" w:before="31" w:after="0"/>
        <w:ind w:left="1300" w:right="963" w:hanging="360"/>
        <w:jc w:val="left"/>
        <w:rPr>
          <w:sz w:val="24"/>
        </w:rPr>
      </w:pPr>
      <w:r>
        <w:rPr>
          <w:sz w:val="24"/>
        </w:rPr>
        <w:t>Definição de responsáveis pelo preparo e atualização dos dados e detalhamento de plano de ação com metas e</w:t>
      </w:r>
      <w:r>
        <w:rPr>
          <w:spacing w:val="-3"/>
          <w:sz w:val="24"/>
        </w:rPr>
        <w:t> </w:t>
      </w:r>
      <w:r>
        <w:rPr>
          <w:sz w:val="24"/>
        </w:rPr>
        <w:t>prazos.</w:t>
      </w:r>
    </w:p>
    <w:p>
      <w:pPr>
        <w:pStyle w:val="ListParagraph"/>
        <w:numPr>
          <w:ilvl w:val="0"/>
          <w:numId w:val="8"/>
        </w:numPr>
        <w:tabs>
          <w:tab w:pos="1301" w:val="left" w:leader="none"/>
        </w:tabs>
        <w:spacing w:line="261" w:lineRule="auto" w:before="18" w:after="0"/>
        <w:ind w:left="1300" w:right="963" w:hanging="360"/>
        <w:jc w:val="left"/>
        <w:rPr>
          <w:sz w:val="24"/>
        </w:rPr>
      </w:pPr>
      <w:r>
        <w:rPr>
          <w:sz w:val="24"/>
        </w:rPr>
        <w:t>Consolidação da matriz de responsabilidades e definição da governança e do fluxo de aprovação do PDA e das</w:t>
      </w:r>
      <w:r>
        <w:rPr>
          <w:spacing w:val="-1"/>
          <w:sz w:val="24"/>
        </w:rPr>
        <w:t> </w:t>
      </w:r>
      <w:r>
        <w:rPr>
          <w:sz w:val="24"/>
        </w:rPr>
        <w:t>revisões.</w:t>
      </w:r>
    </w:p>
    <w:p>
      <w:pPr>
        <w:pStyle w:val="ListParagraph"/>
        <w:numPr>
          <w:ilvl w:val="0"/>
          <w:numId w:val="8"/>
        </w:numPr>
        <w:tabs>
          <w:tab w:pos="1301" w:val="left" w:leader="none"/>
        </w:tabs>
        <w:spacing w:line="261" w:lineRule="auto" w:before="19" w:after="0"/>
        <w:ind w:left="1300" w:right="962" w:hanging="360"/>
        <w:jc w:val="left"/>
        <w:rPr>
          <w:sz w:val="24"/>
        </w:rPr>
      </w:pPr>
      <w:r>
        <w:rPr>
          <w:sz w:val="24"/>
        </w:rPr>
        <w:t>Prover capacitação dos responsáveis pelos dados selecionados para abertura sobre os processos de tratamento, produção, catalogação e publicação.</w:t>
      </w:r>
    </w:p>
    <w:p>
      <w:pPr>
        <w:pStyle w:val="ListParagraph"/>
        <w:numPr>
          <w:ilvl w:val="0"/>
          <w:numId w:val="8"/>
        </w:numPr>
        <w:tabs>
          <w:tab w:pos="1301" w:val="left" w:leader="none"/>
        </w:tabs>
        <w:spacing w:line="261" w:lineRule="auto" w:before="18" w:after="0"/>
        <w:ind w:left="1300" w:right="965" w:hanging="360"/>
        <w:jc w:val="left"/>
        <w:rPr>
          <w:sz w:val="24"/>
        </w:rPr>
      </w:pPr>
      <w:r>
        <w:rPr>
          <w:sz w:val="24"/>
        </w:rPr>
        <w:t>Utilização de metodologia de abertura de dados a ser seguida pelas áreas responsáveis (padrões INDA e</w:t>
      </w:r>
      <w:r>
        <w:rPr>
          <w:spacing w:val="5"/>
          <w:sz w:val="24"/>
        </w:rPr>
        <w:t> </w:t>
      </w:r>
      <w:r>
        <w:rPr>
          <w:sz w:val="24"/>
        </w:rPr>
        <w:t>INDE).</w:t>
      </w:r>
    </w:p>
    <w:p>
      <w:pPr>
        <w:pStyle w:val="ListParagraph"/>
        <w:numPr>
          <w:ilvl w:val="0"/>
          <w:numId w:val="8"/>
        </w:numPr>
        <w:tabs>
          <w:tab w:pos="1301" w:val="left" w:leader="none"/>
        </w:tabs>
        <w:spacing w:line="268" w:lineRule="auto" w:before="18" w:after="0"/>
        <w:ind w:left="1300" w:right="964" w:hanging="360"/>
        <w:jc w:val="both"/>
        <w:rPr>
          <w:sz w:val="24"/>
        </w:rPr>
      </w:pPr>
      <w:r>
        <w:rPr>
          <w:sz w:val="24"/>
        </w:rPr>
        <w:t>Definição da infraestrutura tecnológica necessária para habilitar a publicação dos dados, observação das necessidades de observação das normas de segurança da informação.</w:t>
      </w:r>
    </w:p>
    <w:p>
      <w:pPr>
        <w:pStyle w:val="ListParagraph"/>
        <w:numPr>
          <w:ilvl w:val="0"/>
          <w:numId w:val="8"/>
        </w:numPr>
        <w:tabs>
          <w:tab w:pos="1301" w:val="left" w:leader="none"/>
        </w:tabs>
        <w:spacing w:line="271" w:lineRule="auto" w:before="8" w:after="0"/>
        <w:ind w:left="1300" w:right="961" w:hanging="360"/>
        <w:jc w:val="both"/>
        <w:rPr>
          <w:sz w:val="24"/>
        </w:rPr>
      </w:pPr>
      <w:r>
        <w:rPr>
          <w:sz w:val="24"/>
        </w:rPr>
        <w:t>Desenvolvimento do Portal de Dados Abertos da UFRPE, devidamente integrado aos processos automatizados de publicação e Interface de Programação de Aplicativos (APIs), conforme estabelecidos na Seção</w:t>
      </w:r>
      <w:r>
        <w:rPr>
          <w:spacing w:val="-4"/>
          <w:sz w:val="24"/>
        </w:rPr>
        <w:t> </w:t>
      </w:r>
      <w:r>
        <w:rPr>
          <w:sz w:val="24"/>
        </w:rPr>
        <w:t>3.</w:t>
      </w:r>
    </w:p>
    <w:p>
      <w:pPr>
        <w:pStyle w:val="BodyText"/>
        <w:spacing w:before="9"/>
        <w:rPr>
          <w:sz w:val="31"/>
        </w:rPr>
      </w:pPr>
    </w:p>
    <w:p>
      <w:pPr>
        <w:spacing w:before="0"/>
        <w:ind w:left="2282" w:right="0" w:firstLine="0"/>
        <w:jc w:val="both"/>
        <w:rPr>
          <w:b/>
          <w:sz w:val="24"/>
        </w:rPr>
      </w:pPr>
      <w:r>
        <w:rPr>
          <w:b/>
          <w:color w:val="000009"/>
          <w:sz w:val="24"/>
        </w:rPr>
        <w:t>4.1 Premissas.</w:t>
      </w:r>
    </w:p>
    <w:p>
      <w:pPr>
        <w:pStyle w:val="BodyText"/>
        <w:spacing w:before="5"/>
        <w:rPr>
          <w:b/>
          <w:sz w:val="34"/>
        </w:rPr>
      </w:pPr>
    </w:p>
    <w:p>
      <w:pPr>
        <w:pStyle w:val="BodyText"/>
        <w:spacing w:line="276" w:lineRule="auto"/>
        <w:ind w:left="580" w:right="956" w:firstLine="1701"/>
        <w:jc w:val="both"/>
      </w:pPr>
      <w:r>
        <w:rPr/>
        <w:t>Além de estar alinhado aos princípios e diretrizes mencionados anteriormente neste PDA, o processo de abertura dos conjuntos de dados deve considerar as seguintes premissas:</w:t>
      </w:r>
    </w:p>
    <w:p>
      <w:pPr>
        <w:pStyle w:val="ListParagraph"/>
        <w:numPr>
          <w:ilvl w:val="0"/>
          <w:numId w:val="9"/>
        </w:numPr>
        <w:tabs>
          <w:tab w:pos="1301" w:val="left" w:leader="none"/>
        </w:tabs>
        <w:spacing w:line="273" w:lineRule="auto" w:before="60" w:after="0"/>
        <w:ind w:left="1300" w:right="956" w:hanging="360"/>
        <w:jc w:val="both"/>
        <w:rPr>
          <w:sz w:val="24"/>
        </w:rPr>
      </w:pPr>
      <w:r>
        <w:rPr>
          <w:sz w:val="24"/>
        </w:rPr>
        <w:t>Publicar os dados considerados relevantes para a sociedade o mais rápido possível, seguindo os padrões e normas definidos pela Infraestrutura Nacional de Dados Abertos – INDA, pela Infraestrutura Nacional de Dados Espaciais – INDE e pelo Governo Eletrônico, informando as eventuais limitações de qualidade dos dados, quando</w:t>
      </w:r>
      <w:r>
        <w:rPr>
          <w:spacing w:val="-1"/>
          <w:sz w:val="24"/>
        </w:rPr>
        <w:t> </w:t>
      </w:r>
      <w:r>
        <w:rPr>
          <w:sz w:val="24"/>
        </w:rPr>
        <w:t>aplicável.</w:t>
      </w:r>
    </w:p>
    <w:p>
      <w:pPr>
        <w:spacing w:after="0" w:line="273" w:lineRule="auto"/>
        <w:jc w:val="both"/>
        <w:rPr>
          <w:sz w:val="24"/>
        </w:rPr>
        <w:sectPr>
          <w:pgSz w:w="11910" w:h="16840"/>
          <w:pgMar w:header="763" w:footer="488" w:top="1640" w:bottom="680" w:left="860" w:right="480"/>
        </w:sectPr>
      </w:pPr>
    </w:p>
    <w:p>
      <w:pPr>
        <w:pStyle w:val="ListParagraph"/>
        <w:numPr>
          <w:ilvl w:val="0"/>
          <w:numId w:val="9"/>
        </w:numPr>
        <w:tabs>
          <w:tab w:pos="1301" w:val="left" w:leader="none"/>
        </w:tabs>
        <w:spacing w:line="240" w:lineRule="auto" w:before="90" w:after="0"/>
        <w:ind w:left="1300" w:right="0" w:hanging="361"/>
        <w:jc w:val="both"/>
        <w:rPr>
          <w:sz w:val="24"/>
        </w:rPr>
      </w:pPr>
      <w:r>
        <w:rPr>
          <w:sz w:val="24"/>
        </w:rPr>
        <w:t>Priorizar a abertura dos dados através de processos</w:t>
      </w:r>
      <w:r>
        <w:rPr>
          <w:spacing w:val="-4"/>
          <w:sz w:val="24"/>
        </w:rPr>
        <w:t> </w:t>
      </w:r>
      <w:r>
        <w:rPr>
          <w:sz w:val="24"/>
        </w:rPr>
        <w:t>automatizados.</w:t>
      </w:r>
    </w:p>
    <w:p>
      <w:pPr>
        <w:pStyle w:val="ListParagraph"/>
        <w:numPr>
          <w:ilvl w:val="0"/>
          <w:numId w:val="9"/>
        </w:numPr>
        <w:tabs>
          <w:tab w:pos="1301" w:val="left" w:leader="none"/>
        </w:tabs>
        <w:spacing w:line="264" w:lineRule="auto" w:before="32" w:after="0"/>
        <w:ind w:left="1300" w:right="963" w:hanging="360"/>
        <w:jc w:val="both"/>
        <w:rPr>
          <w:sz w:val="24"/>
        </w:rPr>
      </w:pPr>
      <w:r>
        <w:rPr>
          <w:sz w:val="24"/>
        </w:rPr>
        <w:t>Quando aplicável, desenvolver e publicar Interfaces de Programação de Aplicativos (APIs) </w:t>
      </w:r>
      <w:r>
        <w:rPr>
          <w:color w:val="000009"/>
          <w:sz w:val="24"/>
        </w:rPr>
        <w:t>que </w:t>
      </w:r>
      <w:r>
        <w:rPr>
          <w:sz w:val="24"/>
        </w:rPr>
        <w:t>permitam o fácil acesso aos dados</w:t>
      </w:r>
      <w:r>
        <w:rPr>
          <w:spacing w:val="-3"/>
          <w:sz w:val="24"/>
        </w:rPr>
        <w:t> </w:t>
      </w:r>
      <w:r>
        <w:rPr>
          <w:sz w:val="24"/>
        </w:rPr>
        <w:t>abertos.</w:t>
      </w:r>
    </w:p>
    <w:p>
      <w:pPr>
        <w:pStyle w:val="ListParagraph"/>
        <w:numPr>
          <w:ilvl w:val="0"/>
          <w:numId w:val="9"/>
        </w:numPr>
        <w:tabs>
          <w:tab w:pos="1301" w:val="left" w:leader="none"/>
        </w:tabs>
        <w:spacing w:line="268" w:lineRule="auto" w:before="12" w:after="0"/>
        <w:ind w:left="1300" w:right="961" w:hanging="360"/>
        <w:jc w:val="both"/>
        <w:rPr>
          <w:sz w:val="24"/>
        </w:rPr>
      </w:pPr>
      <w:r>
        <w:rPr>
          <w:sz w:val="24"/>
        </w:rPr>
        <w:t>Publicar os dados juntamente com seus metadados e, quando necessário, com documentação complementar, e em formatos que permitam o uso pelo maior número possível de</w:t>
      </w:r>
      <w:r>
        <w:rPr>
          <w:spacing w:val="-1"/>
          <w:sz w:val="24"/>
        </w:rPr>
        <w:t> </w:t>
      </w:r>
      <w:r>
        <w:rPr>
          <w:sz w:val="24"/>
        </w:rPr>
        <w:t>pessoas.</w:t>
      </w:r>
    </w:p>
    <w:p>
      <w:pPr>
        <w:pStyle w:val="ListParagraph"/>
        <w:numPr>
          <w:ilvl w:val="0"/>
          <w:numId w:val="9"/>
        </w:numPr>
        <w:tabs>
          <w:tab w:pos="1301" w:val="left" w:leader="none"/>
        </w:tabs>
        <w:spacing w:line="264" w:lineRule="auto" w:before="8" w:after="0"/>
        <w:ind w:left="1300" w:right="959" w:hanging="360"/>
        <w:jc w:val="both"/>
        <w:rPr>
          <w:sz w:val="24"/>
        </w:rPr>
      </w:pPr>
      <w:r>
        <w:rPr>
          <w:sz w:val="24"/>
        </w:rPr>
        <w:t>Atualizar e sincronizar os dados publicados com a fonte, de acordo com a periodicidade que for mais adequada com o tipo de dado em</w:t>
      </w:r>
      <w:r>
        <w:rPr>
          <w:spacing w:val="-6"/>
          <w:sz w:val="24"/>
        </w:rPr>
        <w:t> </w:t>
      </w:r>
      <w:r>
        <w:rPr>
          <w:sz w:val="24"/>
        </w:rPr>
        <w:t>questão.</w:t>
      </w:r>
    </w:p>
    <w:p>
      <w:pPr>
        <w:spacing w:after="0" w:line="264" w:lineRule="auto"/>
        <w:jc w:val="both"/>
        <w:rPr>
          <w:sz w:val="24"/>
        </w:rPr>
        <w:sectPr>
          <w:pgSz w:w="11910" w:h="16840"/>
          <w:pgMar w:header="763" w:footer="488" w:top="1640" w:bottom="680" w:left="860" w:right="480"/>
        </w:sectPr>
      </w:pPr>
    </w:p>
    <w:p>
      <w:pPr>
        <w:pStyle w:val="Heading1"/>
        <w:numPr>
          <w:ilvl w:val="1"/>
          <w:numId w:val="9"/>
        </w:numPr>
        <w:tabs>
          <w:tab w:pos="2523" w:val="left" w:leader="none"/>
        </w:tabs>
        <w:spacing w:line="240" w:lineRule="auto" w:before="94" w:after="0"/>
        <w:ind w:left="2522" w:right="0" w:hanging="241"/>
        <w:jc w:val="left"/>
      </w:pPr>
      <w:bookmarkStart w:name="_TOC_250005" w:id="4"/>
      <w:r>
        <w:rPr>
          <w:color w:val="000009"/>
        </w:rPr>
        <w:t>Catalogação no Portal Brasileiro de Dados</w:t>
      </w:r>
      <w:r>
        <w:rPr>
          <w:color w:val="000009"/>
          <w:spacing w:val="-1"/>
        </w:rPr>
        <w:t> </w:t>
      </w:r>
      <w:bookmarkEnd w:id="4"/>
      <w:r>
        <w:rPr>
          <w:color w:val="000009"/>
        </w:rPr>
        <w:t>Abertos.</w:t>
      </w:r>
    </w:p>
    <w:p>
      <w:pPr>
        <w:pStyle w:val="BodyText"/>
        <w:spacing w:before="1"/>
        <w:rPr>
          <w:b/>
          <w:sz w:val="31"/>
        </w:rPr>
      </w:pPr>
    </w:p>
    <w:p>
      <w:pPr>
        <w:pStyle w:val="BodyText"/>
        <w:spacing w:line="276" w:lineRule="auto"/>
        <w:ind w:left="580" w:right="957" w:firstLine="1701"/>
        <w:jc w:val="both"/>
      </w:pPr>
      <w:r>
        <w:rPr/>
        <w:t>Os conjuntos de dados a serem abertos pela UFRPE serão publicados no Portal de Dados Abertos da instituição, bem como catalogados no Portal Brasileiro de Dados Abertos. A execução do processo de publicação é de responsabilidade do Comitê de Tecnologia da Informação (CTI) e será preferencialmente realizada de forma automatizada. Eventualmente, os dados podem ser catalogados diretamente por áreas específicas - responsáveis pelos dados em questão - desde que haja aprovação prévia do CTI.</w:t>
      </w:r>
    </w:p>
    <w:p>
      <w:pPr>
        <w:pStyle w:val="BodyText"/>
        <w:rPr>
          <w:sz w:val="26"/>
        </w:rPr>
      </w:pPr>
    </w:p>
    <w:p>
      <w:pPr>
        <w:pStyle w:val="Heading1"/>
        <w:numPr>
          <w:ilvl w:val="1"/>
          <w:numId w:val="9"/>
        </w:numPr>
        <w:tabs>
          <w:tab w:pos="2523" w:val="left" w:leader="none"/>
        </w:tabs>
        <w:spacing w:line="240" w:lineRule="auto" w:before="188" w:after="0"/>
        <w:ind w:left="2522" w:right="0" w:hanging="241"/>
        <w:jc w:val="left"/>
      </w:pPr>
      <w:bookmarkStart w:name="_TOC_250004" w:id="5"/>
      <w:bookmarkEnd w:id="5"/>
      <w:r>
        <w:rPr/>
        <w:t>Sustentação.</w:t>
      </w:r>
    </w:p>
    <w:p>
      <w:pPr>
        <w:pStyle w:val="BodyText"/>
        <w:spacing w:before="5"/>
        <w:rPr>
          <w:b/>
          <w:sz w:val="34"/>
        </w:rPr>
      </w:pPr>
    </w:p>
    <w:p>
      <w:pPr>
        <w:pStyle w:val="BodyText"/>
        <w:spacing w:line="276" w:lineRule="auto"/>
        <w:ind w:left="580" w:right="960" w:firstLine="1701"/>
        <w:jc w:val="both"/>
      </w:pPr>
      <w:r>
        <w:rPr/>
        <w:t>Dentre os objetivos do Plano de Dados Abertos (PDA) da UFRPE, constam o de assegurar a devida prestação de informações à sociedade, em especial as de interesse público, e o de compartilhar informações com outros órgãos públicos, sobre as quais não recaia vedação expressa de acesso. Para atingir esses objetivos, as ações são orientadas pelos seguintes princípios:</w:t>
      </w:r>
    </w:p>
    <w:p>
      <w:pPr>
        <w:pStyle w:val="BodyText"/>
        <w:rPr>
          <w:sz w:val="26"/>
        </w:rPr>
      </w:pPr>
    </w:p>
    <w:p>
      <w:pPr>
        <w:pStyle w:val="BodyText"/>
        <w:spacing w:before="8"/>
        <w:rPr>
          <w:sz w:val="32"/>
        </w:rPr>
      </w:pPr>
    </w:p>
    <w:p>
      <w:pPr>
        <w:pStyle w:val="ListParagraph"/>
        <w:numPr>
          <w:ilvl w:val="1"/>
          <w:numId w:val="3"/>
        </w:numPr>
        <w:tabs>
          <w:tab w:pos="1301" w:val="left" w:leader="none"/>
        </w:tabs>
        <w:spacing w:line="240" w:lineRule="auto" w:before="1" w:after="0"/>
        <w:ind w:left="1300" w:right="0" w:hanging="361"/>
        <w:jc w:val="left"/>
        <w:rPr>
          <w:rFonts w:ascii="Wingdings" w:hAnsi="Wingdings"/>
          <w:sz w:val="28"/>
        </w:rPr>
      </w:pPr>
      <w:r>
        <w:rPr>
          <w:sz w:val="24"/>
        </w:rPr>
        <w:t>Valor estratégico da</w:t>
      </w:r>
      <w:r>
        <w:rPr>
          <w:spacing w:val="-3"/>
          <w:sz w:val="24"/>
        </w:rPr>
        <w:t> </w:t>
      </w:r>
      <w:r>
        <w:rPr>
          <w:sz w:val="24"/>
        </w:rPr>
        <w:t>informação;</w:t>
      </w:r>
    </w:p>
    <w:p>
      <w:pPr>
        <w:pStyle w:val="ListParagraph"/>
        <w:numPr>
          <w:ilvl w:val="1"/>
          <w:numId w:val="3"/>
        </w:numPr>
        <w:tabs>
          <w:tab w:pos="1301" w:val="left" w:leader="none"/>
        </w:tabs>
        <w:spacing w:line="240" w:lineRule="auto" w:before="34" w:after="0"/>
        <w:ind w:left="1300" w:right="0" w:hanging="361"/>
        <w:jc w:val="left"/>
        <w:rPr>
          <w:rFonts w:ascii="Wingdings" w:hAnsi="Wingdings"/>
          <w:sz w:val="28"/>
        </w:rPr>
      </w:pPr>
      <w:r>
        <w:rPr>
          <w:sz w:val="24"/>
        </w:rPr>
        <w:t>Abertura de dados e transparência, sempre que possível sob a forma</w:t>
      </w:r>
      <w:r>
        <w:rPr>
          <w:spacing w:val="-5"/>
          <w:sz w:val="24"/>
        </w:rPr>
        <w:t> </w:t>
      </w:r>
      <w:r>
        <w:rPr>
          <w:sz w:val="24"/>
        </w:rPr>
        <w:t>ativa;</w:t>
      </w:r>
    </w:p>
    <w:p>
      <w:pPr>
        <w:pStyle w:val="ListParagraph"/>
        <w:numPr>
          <w:ilvl w:val="1"/>
          <w:numId w:val="3"/>
        </w:numPr>
        <w:tabs>
          <w:tab w:pos="1301" w:val="left" w:leader="none"/>
        </w:tabs>
        <w:spacing w:line="240" w:lineRule="auto" w:before="35" w:after="0"/>
        <w:ind w:left="1300" w:right="0" w:hanging="361"/>
        <w:jc w:val="left"/>
        <w:rPr>
          <w:rFonts w:ascii="Wingdings" w:hAnsi="Wingdings"/>
          <w:sz w:val="28"/>
        </w:rPr>
      </w:pPr>
      <w:r>
        <w:rPr>
          <w:sz w:val="24"/>
        </w:rPr>
        <w:t>Alinhamento com o arcabouço normativo e</w:t>
      </w:r>
      <w:r>
        <w:rPr>
          <w:spacing w:val="-1"/>
          <w:sz w:val="24"/>
        </w:rPr>
        <w:t> </w:t>
      </w:r>
      <w:r>
        <w:rPr>
          <w:sz w:val="24"/>
        </w:rPr>
        <w:t>legal;</w:t>
      </w:r>
    </w:p>
    <w:p>
      <w:pPr>
        <w:pStyle w:val="ListParagraph"/>
        <w:numPr>
          <w:ilvl w:val="1"/>
          <w:numId w:val="3"/>
        </w:numPr>
        <w:tabs>
          <w:tab w:pos="1301" w:val="left" w:leader="none"/>
        </w:tabs>
        <w:spacing w:line="240" w:lineRule="auto" w:before="35" w:after="0"/>
        <w:ind w:left="1300" w:right="0" w:hanging="361"/>
        <w:jc w:val="left"/>
        <w:rPr>
          <w:rFonts w:ascii="Wingdings" w:hAnsi="Wingdings"/>
          <w:sz w:val="28"/>
        </w:rPr>
      </w:pPr>
      <w:r>
        <w:rPr>
          <w:sz w:val="24"/>
        </w:rPr>
        <w:t>Segurança e</w:t>
      </w:r>
      <w:r>
        <w:rPr>
          <w:spacing w:val="-1"/>
          <w:sz w:val="24"/>
        </w:rPr>
        <w:t> </w:t>
      </w:r>
      <w:r>
        <w:rPr>
          <w:sz w:val="24"/>
        </w:rPr>
        <w:t>privacidade;</w:t>
      </w:r>
    </w:p>
    <w:p>
      <w:pPr>
        <w:pStyle w:val="ListParagraph"/>
        <w:numPr>
          <w:ilvl w:val="1"/>
          <w:numId w:val="3"/>
        </w:numPr>
        <w:tabs>
          <w:tab w:pos="1301" w:val="left" w:leader="none"/>
        </w:tabs>
        <w:spacing w:line="240" w:lineRule="auto" w:before="33" w:after="0"/>
        <w:ind w:left="1300" w:right="0" w:hanging="361"/>
        <w:jc w:val="left"/>
        <w:rPr>
          <w:rFonts w:ascii="Wingdings" w:hAnsi="Wingdings"/>
          <w:sz w:val="28"/>
        </w:rPr>
      </w:pPr>
      <w:r>
        <w:rPr>
          <w:sz w:val="24"/>
        </w:rPr>
        <w:t>Padronização e racionalização de informações e</w:t>
      </w:r>
      <w:r>
        <w:rPr>
          <w:spacing w:val="-2"/>
          <w:sz w:val="24"/>
        </w:rPr>
        <w:t> </w:t>
      </w:r>
      <w:r>
        <w:rPr>
          <w:sz w:val="24"/>
        </w:rPr>
        <w:t>processos;</w:t>
      </w:r>
    </w:p>
    <w:p>
      <w:pPr>
        <w:pStyle w:val="ListParagraph"/>
        <w:numPr>
          <w:ilvl w:val="1"/>
          <w:numId w:val="3"/>
        </w:numPr>
        <w:tabs>
          <w:tab w:pos="1301" w:val="left" w:leader="none"/>
        </w:tabs>
        <w:spacing w:line="240" w:lineRule="auto" w:before="34" w:after="0"/>
        <w:ind w:left="1300" w:right="0" w:hanging="361"/>
        <w:jc w:val="left"/>
        <w:rPr>
          <w:rFonts w:ascii="Wingdings" w:hAnsi="Wingdings"/>
          <w:color w:val="000009"/>
          <w:sz w:val="28"/>
        </w:rPr>
      </w:pPr>
      <w:r>
        <w:rPr>
          <w:color w:val="000009"/>
          <w:sz w:val="24"/>
        </w:rPr>
        <w:t>Eficiência;</w:t>
      </w:r>
    </w:p>
    <w:p>
      <w:pPr>
        <w:pStyle w:val="ListParagraph"/>
        <w:numPr>
          <w:ilvl w:val="1"/>
          <w:numId w:val="3"/>
        </w:numPr>
        <w:tabs>
          <w:tab w:pos="1301" w:val="left" w:leader="none"/>
        </w:tabs>
        <w:spacing w:line="240" w:lineRule="auto" w:before="35" w:after="0"/>
        <w:ind w:left="1300" w:right="0" w:hanging="361"/>
        <w:jc w:val="left"/>
        <w:rPr>
          <w:rFonts w:ascii="Wingdings" w:hAnsi="Wingdings"/>
          <w:sz w:val="28"/>
        </w:rPr>
      </w:pPr>
      <w:r>
        <w:rPr>
          <w:sz w:val="24"/>
        </w:rPr>
        <w:t>Priorização do uso de meios digitais e</w:t>
      </w:r>
      <w:r>
        <w:rPr>
          <w:spacing w:val="-2"/>
          <w:sz w:val="24"/>
        </w:rPr>
        <w:t> </w:t>
      </w:r>
      <w:r>
        <w:rPr>
          <w:sz w:val="24"/>
        </w:rPr>
        <w:t>inovação.</w:t>
      </w:r>
    </w:p>
    <w:p>
      <w:pPr>
        <w:pStyle w:val="ListParagraph"/>
        <w:numPr>
          <w:ilvl w:val="1"/>
          <w:numId w:val="3"/>
        </w:numPr>
        <w:tabs>
          <w:tab w:pos="1301" w:val="left" w:leader="none"/>
        </w:tabs>
        <w:spacing w:line="240" w:lineRule="auto" w:before="35" w:after="0"/>
        <w:ind w:left="1300" w:right="0" w:hanging="361"/>
        <w:jc w:val="left"/>
        <w:rPr>
          <w:rFonts w:ascii="Wingdings" w:hAnsi="Wingdings"/>
          <w:sz w:val="28"/>
        </w:rPr>
      </w:pPr>
      <w:r>
        <w:rPr>
          <w:sz w:val="24"/>
        </w:rPr>
        <w:t>Identificar e promover a resolução de eventuais problemas nas</w:t>
      </w:r>
      <w:r>
        <w:rPr>
          <w:spacing w:val="-3"/>
          <w:sz w:val="24"/>
        </w:rPr>
        <w:t> </w:t>
      </w:r>
      <w:r>
        <w:rPr>
          <w:sz w:val="24"/>
        </w:rPr>
        <w:t>informações;</w:t>
      </w:r>
    </w:p>
    <w:p>
      <w:pPr>
        <w:pStyle w:val="ListParagraph"/>
        <w:numPr>
          <w:ilvl w:val="1"/>
          <w:numId w:val="3"/>
        </w:numPr>
        <w:tabs>
          <w:tab w:pos="1301" w:val="left" w:leader="none"/>
        </w:tabs>
        <w:spacing w:line="240" w:lineRule="auto" w:before="35" w:after="0"/>
        <w:ind w:left="1300" w:right="0" w:hanging="361"/>
        <w:jc w:val="left"/>
        <w:rPr>
          <w:rFonts w:ascii="Wingdings" w:hAnsi="Wingdings"/>
          <w:sz w:val="28"/>
        </w:rPr>
      </w:pPr>
      <w:r>
        <w:rPr>
          <w:sz w:val="24"/>
        </w:rPr>
        <w:t>Prover auxílio em relação ao acesso e à análise das</w:t>
      </w:r>
      <w:r>
        <w:rPr>
          <w:spacing w:val="-3"/>
          <w:sz w:val="24"/>
        </w:rPr>
        <w:t> </w:t>
      </w:r>
      <w:r>
        <w:rPr>
          <w:sz w:val="24"/>
        </w:rPr>
        <w:t>informações;</w:t>
      </w:r>
    </w:p>
    <w:p>
      <w:pPr>
        <w:pStyle w:val="ListParagraph"/>
        <w:numPr>
          <w:ilvl w:val="1"/>
          <w:numId w:val="3"/>
        </w:numPr>
        <w:tabs>
          <w:tab w:pos="1301" w:val="left" w:leader="none"/>
        </w:tabs>
        <w:spacing w:line="268" w:lineRule="auto" w:before="33" w:after="0"/>
        <w:ind w:left="1300" w:right="956" w:hanging="360"/>
        <w:jc w:val="left"/>
        <w:rPr>
          <w:rFonts w:ascii="Wingdings" w:hAnsi="Wingdings"/>
          <w:sz w:val="28"/>
        </w:rPr>
      </w:pPr>
      <w:r>
        <w:rPr>
          <w:sz w:val="24"/>
        </w:rPr>
        <w:t>Assegurar o devido atendimento às consultas dos interessados, observadas as restrições</w:t>
      </w:r>
      <w:r>
        <w:rPr>
          <w:spacing w:val="1"/>
          <w:sz w:val="24"/>
        </w:rPr>
        <w:t> </w:t>
      </w:r>
      <w:r>
        <w:rPr>
          <w:sz w:val="24"/>
        </w:rPr>
        <w:t>cabíveis;</w:t>
      </w:r>
    </w:p>
    <w:p>
      <w:pPr>
        <w:pStyle w:val="ListParagraph"/>
        <w:numPr>
          <w:ilvl w:val="1"/>
          <w:numId w:val="3"/>
        </w:numPr>
        <w:tabs>
          <w:tab w:pos="1301" w:val="left" w:leader="none"/>
        </w:tabs>
        <w:spacing w:line="240" w:lineRule="auto" w:before="5" w:after="0"/>
        <w:ind w:left="1300" w:right="0" w:hanging="361"/>
        <w:jc w:val="left"/>
        <w:rPr>
          <w:rFonts w:ascii="Wingdings" w:hAnsi="Wingdings"/>
          <w:sz w:val="28"/>
        </w:rPr>
      </w:pPr>
      <w:r>
        <w:rPr>
          <w:sz w:val="24"/>
        </w:rPr>
        <w:t>Comunicar mudanças e problemas aos usuários das informações;</w:t>
      </w:r>
      <w:r>
        <w:rPr>
          <w:spacing w:val="-1"/>
          <w:sz w:val="24"/>
        </w:rPr>
        <w:t> </w:t>
      </w:r>
      <w:r>
        <w:rPr>
          <w:sz w:val="24"/>
        </w:rPr>
        <w:t>e</w:t>
      </w:r>
    </w:p>
    <w:p>
      <w:pPr>
        <w:pStyle w:val="ListParagraph"/>
        <w:numPr>
          <w:ilvl w:val="1"/>
          <w:numId w:val="3"/>
        </w:numPr>
        <w:tabs>
          <w:tab w:pos="1301" w:val="left" w:leader="none"/>
        </w:tabs>
        <w:spacing w:line="273" w:lineRule="auto" w:before="35" w:after="0"/>
        <w:ind w:left="1300" w:right="958" w:hanging="360"/>
        <w:jc w:val="both"/>
        <w:rPr>
          <w:rFonts w:ascii="Wingdings" w:hAnsi="Wingdings"/>
          <w:sz w:val="28"/>
        </w:rPr>
      </w:pPr>
      <w:r>
        <w:rPr>
          <w:sz w:val="24"/>
        </w:rPr>
        <w:t>O PDA abrange todas as fases do ciclo de vida da informação em meio digital: captação, geração, armazenamento, integração, utilização, compartilhamento, divulgação, retenção e descarte. Considera-se que as informações são ativos estratégicos da Instituição e que, portanto, cada base de dados deve ter uma unidade curadora, registrada em um inventário cujo resultado constitui o Catálogo de Informações da</w:t>
      </w:r>
      <w:r>
        <w:rPr>
          <w:spacing w:val="-1"/>
          <w:sz w:val="24"/>
        </w:rPr>
        <w:t> </w:t>
      </w:r>
      <w:r>
        <w:rPr>
          <w:sz w:val="24"/>
        </w:rPr>
        <w:t>UFRPE.</w:t>
      </w:r>
    </w:p>
    <w:p>
      <w:pPr>
        <w:pStyle w:val="BodyText"/>
        <w:spacing w:before="10"/>
        <w:rPr>
          <w:sz w:val="31"/>
        </w:rPr>
      </w:pPr>
    </w:p>
    <w:p>
      <w:pPr>
        <w:pStyle w:val="BodyText"/>
        <w:spacing w:line="276" w:lineRule="auto"/>
        <w:ind w:left="580" w:right="963" w:firstLine="1701"/>
        <w:jc w:val="both"/>
      </w:pPr>
      <w:r>
        <w:rPr>
          <w:color w:val="000009"/>
        </w:rPr>
        <w:t>As unidades curadoras devem designar nominalmente, no Catálogo de Informações, os servidores responsáveis por cada base de dados, chamados de agentes de curadoria. O PDA determina um conjunto formal de responsabilidades para a unidade</w:t>
      </w:r>
    </w:p>
    <w:p>
      <w:pPr>
        <w:spacing w:after="0" w:line="276" w:lineRule="auto"/>
        <w:jc w:val="both"/>
        <w:sectPr>
          <w:pgSz w:w="11910" w:h="16840"/>
          <w:pgMar w:header="763" w:footer="488" w:top="1640" w:bottom="680" w:left="860" w:right="480"/>
        </w:sectPr>
      </w:pPr>
    </w:p>
    <w:p>
      <w:pPr>
        <w:pStyle w:val="BodyText"/>
        <w:spacing w:line="278" w:lineRule="auto" w:before="92"/>
        <w:ind w:left="580" w:right="962"/>
        <w:jc w:val="both"/>
      </w:pPr>
      <w:r>
        <w:rPr>
          <w:color w:val="000009"/>
        </w:rPr>
        <w:t>curadora de uma base de dados, a serem desempenhadas pelos respectivos agentes de curadoria, com destaque para:</w:t>
      </w:r>
    </w:p>
    <w:p>
      <w:pPr>
        <w:pStyle w:val="BodyText"/>
        <w:rPr>
          <w:sz w:val="26"/>
        </w:rPr>
      </w:pPr>
    </w:p>
    <w:p>
      <w:pPr>
        <w:pStyle w:val="BodyText"/>
        <w:spacing w:before="4"/>
        <w:rPr>
          <w:sz w:val="32"/>
        </w:rPr>
      </w:pPr>
    </w:p>
    <w:p>
      <w:pPr>
        <w:pStyle w:val="ListParagraph"/>
        <w:numPr>
          <w:ilvl w:val="1"/>
          <w:numId w:val="3"/>
        </w:numPr>
        <w:tabs>
          <w:tab w:pos="1301" w:val="left" w:leader="none"/>
        </w:tabs>
        <w:spacing w:line="273" w:lineRule="auto" w:before="0" w:after="0"/>
        <w:ind w:left="1300" w:right="958" w:hanging="360"/>
        <w:jc w:val="both"/>
        <w:rPr>
          <w:rFonts w:ascii="Wingdings" w:hAnsi="Wingdings"/>
          <w:sz w:val="28"/>
        </w:rPr>
      </w:pPr>
      <w:r>
        <w:rPr>
          <w:sz w:val="24"/>
        </w:rPr>
        <w:t>Definir e manter as regras de retenção e descarte das informações, os valores de referência para os dados, os requisitos, as regras de negócio e métricas para a gestão da qualidade de dados e as regras de acesso às informações, conforme os respectivos critérios de segurança e classificação dos</w:t>
      </w:r>
      <w:r>
        <w:rPr>
          <w:spacing w:val="-1"/>
          <w:sz w:val="24"/>
        </w:rPr>
        <w:t> </w:t>
      </w:r>
      <w:r>
        <w:rPr>
          <w:sz w:val="24"/>
        </w:rPr>
        <w:t>dados;</w:t>
      </w:r>
    </w:p>
    <w:p>
      <w:pPr>
        <w:pStyle w:val="ListParagraph"/>
        <w:numPr>
          <w:ilvl w:val="1"/>
          <w:numId w:val="3"/>
        </w:numPr>
        <w:tabs>
          <w:tab w:pos="1301" w:val="left" w:leader="none"/>
        </w:tabs>
        <w:spacing w:line="266" w:lineRule="auto" w:before="0" w:after="0"/>
        <w:ind w:left="1300" w:right="963" w:hanging="360"/>
        <w:jc w:val="both"/>
        <w:rPr>
          <w:rFonts w:ascii="Wingdings" w:hAnsi="Wingdings"/>
          <w:sz w:val="28"/>
        </w:rPr>
      </w:pPr>
      <w:r>
        <w:rPr>
          <w:sz w:val="24"/>
        </w:rPr>
        <w:t>Monitorar e controlar a qualidade dos dados em conformidade com o estabelecido na Seção</w:t>
      </w:r>
      <w:r>
        <w:rPr>
          <w:spacing w:val="-1"/>
          <w:sz w:val="24"/>
        </w:rPr>
        <w:t> </w:t>
      </w:r>
      <w:r>
        <w:rPr>
          <w:sz w:val="24"/>
        </w:rPr>
        <w:t>7.</w:t>
      </w:r>
    </w:p>
    <w:p>
      <w:pPr>
        <w:pStyle w:val="ListParagraph"/>
        <w:numPr>
          <w:ilvl w:val="1"/>
          <w:numId w:val="3"/>
        </w:numPr>
        <w:tabs>
          <w:tab w:pos="1301" w:val="left" w:leader="none"/>
        </w:tabs>
        <w:spacing w:line="240" w:lineRule="auto" w:before="12" w:after="0"/>
        <w:ind w:left="1300" w:right="0" w:hanging="361"/>
        <w:jc w:val="both"/>
        <w:rPr>
          <w:rFonts w:ascii="Wingdings" w:hAnsi="Wingdings"/>
          <w:sz w:val="28"/>
        </w:rPr>
      </w:pPr>
      <w:r>
        <w:rPr>
          <w:sz w:val="24"/>
        </w:rPr>
        <w:t>Manter atualizada a documentação no Catálogo de</w:t>
      </w:r>
      <w:r>
        <w:rPr>
          <w:spacing w:val="-1"/>
          <w:sz w:val="24"/>
        </w:rPr>
        <w:t> </w:t>
      </w:r>
      <w:r>
        <w:rPr>
          <w:sz w:val="24"/>
        </w:rPr>
        <w:t>Informações.</w:t>
      </w:r>
    </w:p>
    <w:p>
      <w:pPr>
        <w:pStyle w:val="BodyText"/>
        <w:spacing w:before="3"/>
        <w:rPr>
          <w:sz w:val="34"/>
        </w:rPr>
      </w:pPr>
    </w:p>
    <w:p>
      <w:pPr>
        <w:pStyle w:val="ListParagraph"/>
        <w:numPr>
          <w:ilvl w:val="2"/>
          <w:numId w:val="9"/>
        </w:numPr>
        <w:tabs>
          <w:tab w:pos="2642" w:val="left" w:leader="none"/>
        </w:tabs>
        <w:spacing w:line="240" w:lineRule="auto" w:before="0" w:after="0"/>
        <w:ind w:left="2642" w:right="0" w:hanging="360"/>
        <w:jc w:val="both"/>
        <w:rPr>
          <w:i/>
          <w:color w:val="000009"/>
          <w:sz w:val="24"/>
        </w:rPr>
      </w:pPr>
      <w:r>
        <w:rPr>
          <w:b/>
          <w:color w:val="000009"/>
          <w:sz w:val="24"/>
        </w:rPr>
        <w:t>Governança</w:t>
      </w:r>
      <w:r>
        <w:rPr>
          <w:i/>
          <w:color w:val="000009"/>
          <w:sz w:val="24"/>
        </w:rPr>
        <w:t>.</w:t>
      </w:r>
    </w:p>
    <w:p>
      <w:pPr>
        <w:pStyle w:val="BodyText"/>
        <w:spacing w:line="276" w:lineRule="auto" w:before="103"/>
        <w:ind w:left="580" w:right="962" w:firstLine="1701"/>
        <w:jc w:val="both"/>
      </w:pPr>
      <w:r>
        <w:rPr/>
        <w:t>Compete ao Comitê de Tecnologia da Informação (CTI) direcionar as estratégias adotadas nas ações do PDA, assegurar seu cumprimento, bem como as atribuições a seguir:</w:t>
      </w:r>
    </w:p>
    <w:p>
      <w:pPr>
        <w:pStyle w:val="BodyText"/>
        <w:spacing w:before="11"/>
        <w:rPr>
          <w:sz w:val="37"/>
        </w:rPr>
      </w:pPr>
    </w:p>
    <w:p>
      <w:pPr>
        <w:pStyle w:val="ListParagraph"/>
        <w:numPr>
          <w:ilvl w:val="1"/>
          <w:numId w:val="3"/>
        </w:numPr>
        <w:tabs>
          <w:tab w:pos="1301" w:val="left" w:leader="none"/>
        </w:tabs>
        <w:spacing w:line="240" w:lineRule="auto" w:before="0" w:after="0"/>
        <w:ind w:left="1300" w:right="0" w:hanging="361"/>
        <w:jc w:val="both"/>
        <w:rPr>
          <w:rFonts w:ascii="Wingdings" w:hAnsi="Wingdings"/>
          <w:sz w:val="28"/>
        </w:rPr>
      </w:pPr>
      <w:r>
        <w:rPr>
          <w:sz w:val="24"/>
        </w:rPr>
        <w:t>Acompanhamento das atividades previstas no </w:t>
      </w:r>
      <w:r>
        <w:rPr>
          <w:color w:val="000009"/>
          <w:sz w:val="24"/>
        </w:rPr>
        <w:t>PDA, assim como sua</w:t>
      </w:r>
      <w:r>
        <w:rPr>
          <w:color w:val="000009"/>
          <w:spacing w:val="-3"/>
          <w:sz w:val="24"/>
        </w:rPr>
        <w:t> </w:t>
      </w:r>
      <w:r>
        <w:rPr>
          <w:sz w:val="24"/>
        </w:rPr>
        <w:t>atualização.</w:t>
      </w:r>
    </w:p>
    <w:p>
      <w:pPr>
        <w:pStyle w:val="ListParagraph"/>
        <w:numPr>
          <w:ilvl w:val="1"/>
          <w:numId w:val="3"/>
        </w:numPr>
        <w:tabs>
          <w:tab w:pos="1301" w:val="left" w:leader="none"/>
        </w:tabs>
        <w:spacing w:line="273" w:lineRule="auto" w:before="33" w:after="0"/>
        <w:ind w:left="1300" w:right="955" w:hanging="360"/>
        <w:jc w:val="both"/>
        <w:rPr>
          <w:rFonts w:ascii="Wingdings" w:hAnsi="Wingdings"/>
          <w:sz w:val="28"/>
        </w:rPr>
      </w:pPr>
      <w:r>
        <w:rPr>
          <w:sz w:val="24"/>
        </w:rPr>
        <w:t>Dada a relevância da abertura de bases de dados nas ações de transparência da UFRPE será instituído, no âmbito do CTI, o Comitê de Transparência e Dados Abertos (CTDA). O CTDA será coordenado pela Autoridade de Monitoramento da LAI na UFRPE, com as atribuições previstas no parágrafo 4º do artigo 5º do Decreto nº 8.777, de 2016. A composição do CTDA será definida pelo CTI, sendo sempre ouvida a área responsável pelas respectivas bases de dados. As decisões do CTDA serãotomadasporconsenso.</w:t>
      </w:r>
    </w:p>
    <w:p>
      <w:pPr>
        <w:pStyle w:val="BodyText"/>
        <w:rPr>
          <w:sz w:val="26"/>
        </w:rPr>
      </w:pPr>
    </w:p>
    <w:p>
      <w:pPr>
        <w:spacing w:before="153"/>
        <w:ind w:left="2282" w:right="0" w:firstLine="0"/>
        <w:jc w:val="both"/>
        <w:rPr>
          <w:b/>
          <w:sz w:val="24"/>
        </w:rPr>
      </w:pPr>
      <w:r>
        <w:rPr>
          <w:b/>
          <w:color w:val="000009"/>
          <w:sz w:val="24"/>
        </w:rPr>
        <w:t>Atuação do Comitê de Transparência e Dados Abertos (CTDA).</w:t>
      </w:r>
    </w:p>
    <w:p>
      <w:pPr>
        <w:pStyle w:val="BodyText"/>
        <w:spacing w:line="276" w:lineRule="auto" w:before="156"/>
        <w:ind w:left="580" w:right="962"/>
        <w:jc w:val="both"/>
      </w:pPr>
      <w:r>
        <w:rPr/>
        <w:t>Em linhas gerais, o CTDA é responsável pela manutenção, pela divulgação, pelo acompanhamento da implementação do PDA, bem como pela Gerência do Portal de Dados Abertos da UFRPE. O CTDA também será o responsável por coordenar a inclusão de novas bases de dados no PDA/UFRPE. É importante afirmar que a inclusão de uma base de dados no PDA/UFRPE será imprescindível para a divulgação pública e irrestrita de suas informações, cabendo aos curadores tomar as providências necessárias. Essa medida visa a garantir o alinhamento entre as divulgações em formato aberto no portal de dados e nos demais canais de divulgação de informações da UFRPE.</w:t>
      </w:r>
    </w:p>
    <w:p>
      <w:pPr>
        <w:pStyle w:val="BodyText"/>
        <w:spacing w:line="276" w:lineRule="auto" w:before="121"/>
        <w:ind w:left="580" w:right="957"/>
        <w:jc w:val="both"/>
      </w:pPr>
      <w:r>
        <w:rPr/>
        <w:t>Adicionalmente, o CTDA acompanhará as diretrizes divulgadas pela INDA, garantindo a aderência aos padrões por ela estabelecidos. Oportunamente, avaliará alternativas de colaboração com comitês correlatos na Administração Pública Federal, com destaque para o Comitê Interministerial de Governo Aberto (CIGA) e o Comitê Gestor da INDA (CGINDA). É importante de salientar que o andamento das ações previstas no PDA/UFRPE será</w:t>
      </w:r>
    </w:p>
    <w:p>
      <w:pPr>
        <w:spacing w:after="0" w:line="276" w:lineRule="auto"/>
        <w:jc w:val="both"/>
        <w:sectPr>
          <w:pgSz w:w="11910" w:h="16840"/>
          <w:pgMar w:header="763" w:footer="488" w:top="1640" w:bottom="680" w:left="860" w:right="480"/>
        </w:sectPr>
      </w:pPr>
    </w:p>
    <w:p>
      <w:pPr>
        <w:pStyle w:val="BodyText"/>
        <w:spacing w:line="276" w:lineRule="auto" w:before="92"/>
        <w:ind w:left="580" w:right="956"/>
        <w:jc w:val="both"/>
      </w:pPr>
      <w:r>
        <w:rPr/>
        <w:t>acompanhado pelo CTDA, que terá regimento próprio com a especificação de suas atribuições e responsabilidades. Além disso, o CTDA também deverá terumcalendário próprio de reuniões, de forma coordenada com as reuniões do CTI, e com frequência mínima semestral.O Quadro 1 fornece a lista dos atores institucionais envolvidos na política de abertura de dados da</w:t>
      </w:r>
      <w:r>
        <w:rPr>
          <w:spacing w:val="-3"/>
        </w:rPr>
        <w:t> </w:t>
      </w:r>
      <w:r>
        <w:rPr/>
        <w:t>UFRPE.</w:t>
      </w:r>
    </w:p>
    <w:p>
      <w:pPr>
        <w:pStyle w:val="BodyText"/>
        <w:spacing w:before="1"/>
        <w:rPr>
          <w:sz w:val="38"/>
        </w:rPr>
      </w:pPr>
    </w:p>
    <w:p>
      <w:pPr>
        <w:spacing w:before="0"/>
        <w:ind w:left="563" w:right="938" w:firstLine="0"/>
        <w:jc w:val="center"/>
        <w:rPr>
          <w:i/>
          <w:sz w:val="24"/>
        </w:rPr>
      </w:pPr>
      <w:r>
        <w:rPr>
          <w:i/>
          <w:sz w:val="24"/>
        </w:rPr>
        <w:t>Quadro </w:t>
      </w:r>
      <w:r>
        <w:rPr>
          <w:i/>
          <w:color w:val="44536A"/>
          <w:sz w:val="24"/>
        </w:rPr>
        <w:t>1 </w:t>
      </w:r>
      <w:r>
        <w:rPr>
          <w:i/>
          <w:sz w:val="24"/>
        </w:rPr>
        <w:t>- Resumo dos principais atores institucionais envolvidos no PDA</w:t>
      </w:r>
      <w:r>
        <w:rPr>
          <w:i/>
          <w:color w:val="000009"/>
          <w:sz w:val="24"/>
        </w:rPr>
        <w:t>.</w:t>
      </w:r>
    </w:p>
    <w:p>
      <w:pPr>
        <w:pStyle w:val="BodyText"/>
        <w:spacing w:before="10"/>
        <w:rPr>
          <w:i/>
          <w:sz w:val="17"/>
        </w:rPr>
      </w:pPr>
    </w:p>
    <w:tbl>
      <w:tblPr>
        <w:tblW w:w="0" w:type="auto"/>
        <w:jc w:val="left"/>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75"/>
        <w:gridCol w:w="5941"/>
      </w:tblGrid>
      <w:tr>
        <w:trPr>
          <w:trHeight w:val="477" w:hRule="atLeast"/>
        </w:trPr>
        <w:tc>
          <w:tcPr>
            <w:tcW w:w="3075" w:type="dxa"/>
            <w:shd w:val="clear" w:color="auto" w:fill="D9D9D9"/>
          </w:tcPr>
          <w:p>
            <w:pPr>
              <w:pStyle w:val="TableParagraph"/>
              <w:spacing w:before="97"/>
              <w:ind w:left="1261" w:right="1273"/>
              <w:jc w:val="center"/>
              <w:rPr>
                <w:b/>
                <w:sz w:val="24"/>
              </w:rPr>
            </w:pPr>
            <w:r>
              <w:rPr>
                <w:b/>
                <w:sz w:val="24"/>
              </w:rPr>
              <w:t>Ator</w:t>
            </w:r>
          </w:p>
        </w:tc>
        <w:tc>
          <w:tcPr>
            <w:tcW w:w="5941" w:type="dxa"/>
            <w:shd w:val="clear" w:color="auto" w:fill="D9D9D9"/>
          </w:tcPr>
          <w:p>
            <w:pPr>
              <w:pStyle w:val="TableParagraph"/>
              <w:spacing w:before="97"/>
              <w:ind w:left="2038" w:right="2041"/>
              <w:jc w:val="center"/>
              <w:rPr>
                <w:b/>
                <w:sz w:val="24"/>
              </w:rPr>
            </w:pPr>
            <w:r>
              <w:rPr>
                <w:b/>
                <w:sz w:val="24"/>
              </w:rPr>
              <w:t>Responsabilidade</w:t>
            </w:r>
          </w:p>
        </w:tc>
      </w:tr>
      <w:tr>
        <w:trPr>
          <w:trHeight w:val="1518" w:hRule="atLeast"/>
        </w:trPr>
        <w:tc>
          <w:tcPr>
            <w:tcW w:w="3075" w:type="dxa"/>
          </w:tcPr>
          <w:p>
            <w:pPr>
              <w:pStyle w:val="TableParagraph"/>
              <w:ind w:left="0"/>
              <w:rPr>
                <w:i/>
                <w:sz w:val="26"/>
              </w:rPr>
            </w:pPr>
          </w:p>
          <w:p>
            <w:pPr>
              <w:pStyle w:val="TableParagraph"/>
              <w:spacing w:line="276" w:lineRule="auto" w:before="155"/>
              <w:ind w:right="546"/>
              <w:rPr>
                <w:sz w:val="24"/>
              </w:rPr>
            </w:pPr>
            <w:r>
              <w:rPr>
                <w:sz w:val="24"/>
              </w:rPr>
              <w:t>Comitê de Tecnologia da Informação (CTI)</w:t>
            </w:r>
          </w:p>
        </w:tc>
        <w:tc>
          <w:tcPr>
            <w:tcW w:w="5941" w:type="dxa"/>
          </w:tcPr>
          <w:p>
            <w:pPr>
              <w:pStyle w:val="TableParagraph"/>
              <w:spacing w:before="92"/>
              <w:ind w:left="71" w:right="684"/>
              <w:jc w:val="both"/>
              <w:rPr>
                <w:sz w:val="24"/>
              </w:rPr>
            </w:pPr>
            <w:r>
              <w:rPr>
                <w:sz w:val="24"/>
              </w:rPr>
              <w:t>Direcionar as estratégias adotadas nas ações do PDA, assegurar seu cumprimento e definir a composição do CTDA.</w:t>
            </w:r>
          </w:p>
        </w:tc>
      </w:tr>
      <w:tr>
        <w:trPr>
          <w:trHeight w:val="1028" w:hRule="atLeast"/>
        </w:trPr>
        <w:tc>
          <w:tcPr>
            <w:tcW w:w="3075" w:type="dxa"/>
          </w:tcPr>
          <w:p>
            <w:pPr>
              <w:pStyle w:val="TableParagraph"/>
              <w:spacing w:before="92"/>
              <w:ind w:right="387"/>
              <w:rPr>
                <w:sz w:val="24"/>
              </w:rPr>
            </w:pPr>
            <w:r>
              <w:rPr>
                <w:sz w:val="24"/>
              </w:rPr>
              <w:t>Comitê de Transparência e Dados Abertos (CTDA)</w:t>
            </w:r>
          </w:p>
        </w:tc>
        <w:tc>
          <w:tcPr>
            <w:tcW w:w="5941" w:type="dxa"/>
          </w:tcPr>
          <w:p>
            <w:pPr>
              <w:pStyle w:val="TableParagraph"/>
              <w:spacing w:before="92"/>
              <w:ind w:left="71" w:right="251"/>
              <w:rPr>
                <w:sz w:val="24"/>
              </w:rPr>
            </w:pPr>
            <w:r>
              <w:rPr>
                <w:sz w:val="24"/>
              </w:rPr>
              <w:t>Manutenção, divulgação, acompanhamento da implementação do PDA, bem como Gerência do Portal de Dados Abertos da UFRPE.</w:t>
            </w:r>
          </w:p>
        </w:tc>
      </w:tr>
      <w:tr>
        <w:trPr>
          <w:trHeight w:val="1305" w:hRule="atLeast"/>
        </w:trPr>
        <w:tc>
          <w:tcPr>
            <w:tcW w:w="3075" w:type="dxa"/>
          </w:tcPr>
          <w:p>
            <w:pPr>
              <w:pStyle w:val="TableParagraph"/>
              <w:spacing w:before="92"/>
              <w:ind w:right="180"/>
              <w:rPr>
                <w:sz w:val="24"/>
              </w:rPr>
            </w:pPr>
            <w:r>
              <w:rPr>
                <w:sz w:val="24"/>
              </w:rPr>
              <w:t>Unidade Curadora (e.g., Pró- reitorias, unidades administrativas)</w:t>
            </w:r>
          </w:p>
        </w:tc>
        <w:tc>
          <w:tcPr>
            <w:tcW w:w="5941" w:type="dxa"/>
          </w:tcPr>
          <w:p>
            <w:pPr>
              <w:pStyle w:val="TableParagraph"/>
              <w:spacing w:before="92"/>
              <w:ind w:left="71" w:right="371"/>
              <w:rPr>
                <w:sz w:val="24"/>
              </w:rPr>
            </w:pPr>
            <w:r>
              <w:rPr>
                <w:sz w:val="24"/>
              </w:rPr>
              <w:t>Incentivar a publicação de novos conjuntos de dados relativos às suas atividades e designar nominalmente, no Catálogo de Informações, os servidores responsáveis por cada base de dados.</w:t>
            </w:r>
          </w:p>
        </w:tc>
      </w:tr>
    </w:tbl>
    <w:p>
      <w:pPr>
        <w:pStyle w:val="BodyText"/>
        <w:rPr>
          <w:i/>
          <w:sz w:val="26"/>
        </w:rPr>
      </w:pPr>
    </w:p>
    <w:p>
      <w:pPr>
        <w:pStyle w:val="Heading1"/>
        <w:numPr>
          <w:ilvl w:val="1"/>
          <w:numId w:val="9"/>
        </w:numPr>
        <w:tabs>
          <w:tab w:pos="2463" w:val="left" w:leader="none"/>
        </w:tabs>
        <w:spacing w:line="240" w:lineRule="auto" w:before="180" w:after="0"/>
        <w:ind w:left="2463" w:right="0" w:hanging="181"/>
        <w:jc w:val="left"/>
        <w:rPr>
          <w:color w:val="000009"/>
          <w:sz w:val="22"/>
        </w:rPr>
      </w:pPr>
      <w:bookmarkStart w:name="_TOC_250003" w:id="6"/>
      <w:r>
        <w:rPr>
          <w:color w:val="000009"/>
        </w:rPr>
        <w:t>Monitoramento e</w:t>
      </w:r>
      <w:r>
        <w:rPr>
          <w:color w:val="000009"/>
          <w:spacing w:val="-1"/>
        </w:rPr>
        <w:t> </w:t>
      </w:r>
      <w:bookmarkEnd w:id="6"/>
      <w:r>
        <w:rPr>
          <w:color w:val="000009"/>
        </w:rPr>
        <w:t>Controle.</w:t>
      </w:r>
    </w:p>
    <w:p>
      <w:pPr>
        <w:pStyle w:val="BodyText"/>
        <w:spacing w:before="5"/>
        <w:rPr>
          <w:b/>
          <w:sz w:val="34"/>
        </w:rPr>
      </w:pPr>
    </w:p>
    <w:p>
      <w:pPr>
        <w:pStyle w:val="BodyText"/>
        <w:spacing w:line="276" w:lineRule="auto"/>
        <w:ind w:left="580" w:right="958" w:firstLine="1701"/>
        <w:jc w:val="both"/>
      </w:pPr>
      <w:r>
        <w:rPr/>
        <w:t>O PDA terá acompanhamento pelo CTI com atualização de suas metas, prazos, indicadores e produtos, que serão incorporados ao PDTI. Cabe ao CTI verificar o alinhamento do PDA com os instrumentos de planejamento aplicados à UFRPE, tais como o PDI e o PDTI. Anualmente será feito um relatóriosobre o cumprimento das metas estabelecidas no PDA, bem como estatísticas de acesso aos dados e demais assuntos tratados sobre a abertura das bases de dados no </w:t>
      </w:r>
      <w:r>
        <w:rPr>
          <w:color w:val="000009"/>
        </w:rPr>
        <w:t>período. A elaboração do relatório será coordenada pelo CTDA, com apoio do CTI.</w:t>
      </w:r>
    </w:p>
    <w:p>
      <w:pPr>
        <w:pStyle w:val="BodyText"/>
        <w:spacing w:before="9"/>
        <w:rPr>
          <w:sz w:val="31"/>
        </w:rPr>
      </w:pPr>
    </w:p>
    <w:p>
      <w:pPr>
        <w:pStyle w:val="ListParagraph"/>
        <w:numPr>
          <w:ilvl w:val="2"/>
          <w:numId w:val="9"/>
        </w:numPr>
        <w:tabs>
          <w:tab w:pos="2642" w:val="left" w:leader="none"/>
        </w:tabs>
        <w:spacing w:line="240" w:lineRule="auto" w:before="1" w:after="0"/>
        <w:ind w:left="2642" w:right="0" w:hanging="360"/>
        <w:jc w:val="left"/>
        <w:rPr>
          <w:b/>
          <w:color w:val="000009"/>
          <w:sz w:val="24"/>
        </w:rPr>
      </w:pPr>
      <w:r>
        <w:rPr>
          <w:b/>
          <w:color w:val="000009"/>
          <w:sz w:val="24"/>
        </w:rPr>
        <w:t>Melhoria na Qualidade dos</w:t>
      </w:r>
      <w:r>
        <w:rPr>
          <w:b/>
          <w:color w:val="000009"/>
          <w:spacing w:val="-2"/>
          <w:sz w:val="24"/>
        </w:rPr>
        <w:t> </w:t>
      </w:r>
      <w:r>
        <w:rPr>
          <w:b/>
          <w:color w:val="000009"/>
          <w:sz w:val="24"/>
        </w:rPr>
        <w:t>Dados.</w:t>
      </w:r>
    </w:p>
    <w:p>
      <w:pPr>
        <w:pStyle w:val="BodyText"/>
        <w:spacing w:before="5"/>
        <w:rPr>
          <w:b/>
          <w:sz w:val="34"/>
        </w:rPr>
      </w:pPr>
    </w:p>
    <w:p>
      <w:pPr>
        <w:pStyle w:val="BodyText"/>
        <w:spacing w:line="276" w:lineRule="auto"/>
        <w:ind w:left="580" w:right="959" w:firstLine="1701"/>
        <w:jc w:val="both"/>
      </w:pPr>
      <w:r>
        <w:rPr/>
        <w:t>Conforme apresentado na Seção 3.3, os dados deverão ser publicados através de processos automatizados, preferencialmente, aumentando assim as possibilidades de monitoramento e controle, além de garantir e agilizar as atualizações periódicas, contribuindo para uma melhor qualidade, diminuição do trabalho manual e ocorrência de eventuais erros operacionais. Além disso, a disponibilização dos dados através de APIs programáveis (</w:t>
      </w:r>
      <w:r>
        <w:rPr>
          <w:i/>
        </w:rPr>
        <w:t>ApplicationProgram Interfaces</w:t>
      </w:r>
      <w:r>
        <w:rPr/>
        <w:t>) deve ser priorizada, como forma de facilitar o consumo de tais dados por programas </w:t>
      </w:r>
      <w:r>
        <w:rPr>
          <w:color w:val="000009"/>
        </w:rPr>
        <w:t>(software)/máquinas, bem como o seu monitoramento.</w:t>
      </w:r>
    </w:p>
    <w:p>
      <w:pPr>
        <w:spacing w:after="0" w:line="276" w:lineRule="auto"/>
        <w:jc w:val="both"/>
        <w:sectPr>
          <w:pgSz w:w="11910" w:h="16840"/>
          <w:pgMar w:header="763" w:footer="488" w:top="1640" w:bottom="680" w:left="860" w:right="480"/>
        </w:sectPr>
      </w:pPr>
    </w:p>
    <w:p>
      <w:pPr>
        <w:pStyle w:val="BodyText"/>
        <w:spacing w:line="276" w:lineRule="auto" w:before="92"/>
        <w:ind w:left="580" w:right="963" w:firstLine="1701"/>
        <w:jc w:val="both"/>
      </w:pPr>
      <w:r>
        <w:rPr>
          <w:color w:val="000009"/>
        </w:rPr>
        <w:t>Além disso, considerando que os critérios de qualidade do Plano de Ação da INDA também devem ser observados, foi definido o conjunto de critérios principais de qualidade a</w:t>
      </w:r>
      <w:r>
        <w:rPr>
          <w:color w:val="000009"/>
          <w:spacing w:val="-3"/>
        </w:rPr>
        <w:t> </w:t>
      </w:r>
      <w:r>
        <w:rPr>
          <w:color w:val="000009"/>
        </w:rPr>
        <w:t>seguir:</w:t>
      </w:r>
    </w:p>
    <w:p>
      <w:pPr>
        <w:pStyle w:val="ListParagraph"/>
        <w:numPr>
          <w:ilvl w:val="0"/>
          <w:numId w:val="10"/>
        </w:numPr>
        <w:tabs>
          <w:tab w:pos="1301" w:val="left" w:leader="none"/>
        </w:tabs>
        <w:spacing w:line="264" w:lineRule="auto" w:before="111" w:after="0"/>
        <w:ind w:left="1300" w:right="964" w:hanging="360"/>
        <w:jc w:val="both"/>
        <w:rPr>
          <w:rFonts w:ascii="Arial Black" w:hAnsi="Arial Black"/>
          <w:color w:val="000009"/>
          <w:sz w:val="28"/>
        </w:rPr>
      </w:pPr>
      <w:r>
        <w:rPr>
          <w:color w:val="000009"/>
          <w:sz w:val="24"/>
        </w:rPr>
        <w:t>Os dados disponibilizados devem conter a possibilidade de serem acessados diretamente, através de um endereço único (URL) disponível na Web, ou seja, passível de ser reproduzida e compartilhada, sem necessidade de navegação na página para seu</w:t>
      </w:r>
      <w:r>
        <w:rPr>
          <w:color w:val="000009"/>
          <w:spacing w:val="-2"/>
          <w:sz w:val="24"/>
        </w:rPr>
        <w:t> </w:t>
      </w:r>
      <w:r>
        <w:rPr>
          <w:color w:val="000009"/>
          <w:sz w:val="24"/>
        </w:rPr>
        <w:t>acesso;</w:t>
      </w:r>
    </w:p>
    <w:p>
      <w:pPr>
        <w:pStyle w:val="ListParagraph"/>
        <w:numPr>
          <w:ilvl w:val="0"/>
          <w:numId w:val="10"/>
        </w:numPr>
        <w:tabs>
          <w:tab w:pos="1301" w:val="left" w:leader="none"/>
        </w:tabs>
        <w:spacing w:line="244" w:lineRule="auto" w:before="56" w:after="0"/>
        <w:ind w:left="1300" w:right="962" w:hanging="360"/>
        <w:jc w:val="both"/>
        <w:rPr>
          <w:rFonts w:ascii="Arial Black" w:hAnsi="Arial Black"/>
          <w:sz w:val="28"/>
        </w:rPr>
      </w:pPr>
      <w:r>
        <w:rPr>
          <w:sz w:val="24"/>
        </w:rPr>
        <w:t>Os </w:t>
      </w:r>
      <w:r>
        <w:rPr>
          <w:color w:val="000009"/>
          <w:sz w:val="24"/>
        </w:rPr>
        <w:t>dados disponibilizados devem estar em formatos abertos, conforme formatos recomendados pela</w:t>
      </w:r>
      <w:r>
        <w:rPr>
          <w:color w:val="000009"/>
          <w:spacing w:val="2"/>
          <w:sz w:val="24"/>
        </w:rPr>
        <w:t> </w:t>
      </w:r>
      <w:r>
        <w:rPr>
          <w:sz w:val="24"/>
        </w:rPr>
        <w:t>e-PING.</w:t>
      </w:r>
    </w:p>
    <w:p>
      <w:pPr>
        <w:pStyle w:val="ListParagraph"/>
        <w:numPr>
          <w:ilvl w:val="0"/>
          <w:numId w:val="10"/>
        </w:numPr>
        <w:tabs>
          <w:tab w:pos="1301" w:val="left" w:leader="none"/>
        </w:tabs>
        <w:spacing w:line="244" w:lineRule="auto" w:before="82" w:after="0"/>
        <w:ind w:left="1300" w:right="963" w:hanging="360"/>
        <w:jc w:val="both"/>
        <w:rPr>
          <w:rFonts w:ascii="Arial Black" w:hAnsi="Arial Black"/>
          <w:sz w:val="28"/>
        </w:rPr>
      </w:pPr>
      <w:r>
        <w:rPr>
          <w:sz w:val="24"/>
        </w:rPr>
        <w:t>Os dados publicados devem conter um conjunto mínimo de metadados, conforme a cartilha técnica para publicação de dados, disponível</w:t>
      </w:r>
      <w:r>
        <w:rPr>
          <w:spacing w:val="-5"/>
          <w:sz w:val="24"/>
        </w:rPr>
        <w:t> </w:t>
      </w:r>
      <w:r>
        <w:rPr>
          <w:sz w:val="24"/>
        </w:rPr>
        <w:t>em</w:t>
      </w:r>
    </w:p>
    <w:p>
      <w:pPr>
        <w:pStyle w:val="ListParagraph"/>
        <w:numPr>
          <w:ilvl w:val="0"/>
          <w:numId w:val="10"/>
        </w:numPr>
        <w:tabs>
          <w:tab w:pos="1301" w:val="left" w:leader="none"/>
        </w:tabs>
        <w:spacing w:line="244" w:lineRule="auto" w:before="82" w:after="0"/>
        <w:ind w:left="1300" w:right="964" w:hanging="360"/>
        <w:jc w:val="both"/>
        <w:rPr>
          <w:rFonts w:ascii="Arial Black" w:hAnsi="Arial Black"/>
          <w:sz w:val="28"/>
        </w:rPr>
      </w:pPr>
      <w:r>
        <w:rPr>
          <w:sz w:val="24"/>
        </w:rPr>
        <w:t>Os dados devem ser publicados através de processos automatizados e sem a necessidade de intervenção humana,</w:t>
      </w:r>
      <w:r>
        <w:rPr>
          <w:spacing w:val="-3"/>
          <w:sz w:val="24"/>
        </w:rPr>
        <w:t> </w:t>
      </w:r>
      <w:r>
        <w:rPr>
          <w:sz w:val="24"/>
        </w:rPr>
        <w:t>preferencialmente;</w:t>
      </w:r>
    </w:p>
    <w:p>
      <w:pPr>
        <w:pStyle w:val="ListParagraph"/>
        <w:numPr>
          <w:ilvl w:val="0"/>
          <w:numId w:val="10"/>
        </w:numPr>
        <w:tabs>
          <w:tab w:pos="1301" w:val="left" w:leader="none"/>
        </w:tabs>
        <w:spacing w:line="244" w:lineRule="auto" w:before="83" w:after="0"/>
        <w:ind w:left="1300" w:right="961" w:hanging="360"/>
        <w:jc w:val="both"/>
        <w:rPr>
          <w:rFonts w:ascii="Arial Black" w:hAnsi="Arial Black"/>
          <w:sz w:val="28"/>
        </w:rPr>
      </w:pPr>
      <w:r>
        <w:rPr>
          <w:sz w:val="24"/>
        </w:rPr>
        <w:t>Sempre que possível, Interfaces de Programação de Aplicativos (APIs) devem ser providas para facilitar o acesso aos dados</w:t>
      </w:r>
      <w:r>
        <w:rPr>
          <w:spacing w:val="-1"/>
          <w:sz w:val="24"/>
        </w:rPr>
        <w:t> </w:t>
      </w:r>
      <w:r>
        <w:rPr>
          <w:sz w:val="24"/>
        </w:rPr>
        <w:t>publicados.</w:t>
      </w:r>
    </w:p>
    <w:p>
      <w:pPr>
        <w:pStyle w:val="BodyText"/>
        <w:spacing w:before="5"/>
        <w:rPr>
          <w:sz w:val="29"/>
        </w:rPr>
      </w:pPr>
    </w:p>
    <w:p>
      <w:pPr>
        <w:pStyle w:val="ListParagraph"/>
        <w:numPr>
          <w:ilvl w:val="2"/>
          <w:numId w:val="9"/>
        </w:numPr>
        <w:tabs>
          <w:tab w:pos="2642" w:val="left" w:leader="none"/>
        </w:tabs>
        <w:spacing w:line="240" w:lineRule="auto" w:before="0" w:after="0"/>
        <w:ind w:left="2642" w:right="0" w:hanging="360"/>
        <w:jc w:val="left"/>
        <w:rPr>
          <w:b/>
          <w:sz w:val="24"/>
        </w:rPr>
      </w:pPr>
      <w:r>
        <w:rPr>
          <w:b/>
          <w:sz w:val="24"/>
        </w:rPr>
        <w:t>Comunicação e Participação Social.</w:t>
      </w:r>
    </w:p>
    <w:p>
      <w:pPr>
        <w:pStyle w:val="BodyText"/>
        <w:spacing w:before="5"/>
        <w:rPr>
          <w:b/>
          <w:sz w:val="34"/>
        </w:rPr>
      </w:pPr>
    </w:p>
    <w:p>
      <w:pPr>
        <w:pStyle w:val="BodyText"/>
        <w:spacing w:line="276" w:lineRule="auto" w:before="1"/>
        <w:ind w:left="580" w:right="960" w:firstLine="1701"/>
        <w:jc w:val="both"/>
      </w:pPr>
      <w:r>
        <w:rPr/>
        <w:t>Para fins de comunicação, o principal objetivo afeto a este Plano é dar publicidade aos dados públicos gerados ou de posse da UFRPE e incentivar a sua utilização pelos diversos setores da comunidade: servidores do órgão, gestores públicos, produtores e usuários dos dados, academia, imprensa, sociedade organizada e cidadãos como um todo. Assim, a divulgação tanto deste PDA quanto dos dados publicados deve estar alinhada com a política de comunicação da UFRPE.</w:t>
      </w:r>
    </w:p>
    <w:p>
      <w:pPr>
        <w:pStyle w:val="BodyText"/>
        <w:spacing w:before="4"/>
        <w:rPr>
          <w:sz w:val="31"/>
        </w:rPr>
      </w:pPr>
    </w:p>
    <w:p>
      <w:pPr>
        <w:pStyle w:val="BodyText"/>
        <w:spacing w:line="276" w:lineRule="auto"/>
        <w:ind w:left="580" w:right="955" w:firstLine="1701"/>
        <w:jc w:val="both"/>
      </w:pPr>
      <w:r>
        <w:rPr>
          <w:color w:val="000009"/>
        </w:rPr>
        <w:t>O sítio eletrônico da UFRPE na internet e os seus perfis institucionais nas redes sociais serão os principais meios de comunicação e divulgação utilizados. Além disso, os boletins internos da universidade deverão ser usados para comunicação e engajamento da comunidade acadêmica, com o objetivo de disseminar a cultura da transparência e solidificar a publicação de dados na rotina do</w:t>
      </w:r>
      <w:r>
        <w:rPr>
          <w:color w:val="000009"/>
          <w:spacing w:val="-3"/>
        </w:rPr>
        <w:t> </w:t>
      </w:r>
      <w:r>
        <w:rPr>
          <w:color w:val="000009"/>
        </w:rPr>
        <w:t>órgão.</w:t>
      </w:r>
    </w:p>
    <w:p>
      <w:pPr>
        <w:pStyle w:val="BodyText"/>
        <w:spacing w:line="276" w:lineRule="auto" w:before="61"/>
        <w:ind w:left="580" w:right="963"/>
        <w:jc w:val="both"/>
      </w:pPr>
      <w:r>
        <w:rPr/>
        <w:t>Adicionalmente, algumas ações específicas devem ser realizadas para fomentar a participação social:</w:t>
      </w:r>
    </w:p>
    <w:p>
      <w:pPr>
        <w:pStyle w:val="ListParagraph"/>
        <w:numPr>
          <w:ilvl w:val="0"/>
          <w:numId w:val="10"/>
        </w:numPr>
        <w:tabs>
          <w:tab w:pos="1300" w:val="left" w:leader="none"/>
          <w:tab w:pos="1301" w:val="left" w:leader="none"/>
        </w:tabs>
        <w:spacing w:line="244" w:lineRule="auto" w:before="109" w:after="0"/>
        <w:ind w:left="1300" w:right="964" w:hanging="360"/>
        <w:jc w:val="left"/>
        <w:rPr>
          <w:rFonts w:ascii="Arial Black" w:hAnsi="Arial Black"/>
          <w:color w:val="000009"/>
          <w:sz w:val="28"/>
        </w:rPr>
      </w:pPr>
      <w:r>
        <w:rPr>
          <w:color w:val="000009"/>
          <w:sz w:val="24"/>
        </w:rPr>
        <w:t>Promoção de eventos sobre dados abertos e concursos de aplicativos, fomentando o uso e reuso dos dados</w:t>
      </w:r>
      <w:r>
        <w:rPr>
          <w:color w:val="000009"/>
          <w:spacing w:val="-2"/>
          <w:sz w:val="24"/>
        </w:rPr>
        <w:t> </w:t>
      </w:r>
      <w:r>
        <w:rPr>
          <w:color w:val="000009"/>
          <w:sz w:val="24"/>
        </w:rPr>
        <w:t>públicos;</w:t>
      </w:r>
    </w:p>
    <w:p>
      <w:pPr>
        <w:pStyle w:val="ListParagraph"/>
        <w:numPr>
          <w:ilvl w:val="0"/>
          <w:numId w:val="10"/>
        </w:numPr>
        <w:tabs>
          <w:tab w:pos="1300" w:val="left" w:leader="none"/>
          <w:tab w:pos="1301" w:val="left" w:leader="none"/>
        </w:tabs>
        <w:spacing w:line="244" w:lineRule="auto" w:before="81" w:after="0"/>
        <w:ind w:left="1300" w:right="957" w:hanging="360"/>
        <w:jc w:val="left"/>
        <w:rPr>
          <w:rFonts w:ascii="Arial Black" w:hAnsi="Arial Black"/>
          <w:sz w:val="28"/>
        </w:rPr>
      </w:pPr>
      <w:r>
        <w:rPr>
          <w:sz w:val="24"/>
        </w:rPr>
        <w:t>Incentivo à utilização dos dados publicados pela instituição nas disciplinas dos cursos oferecidos pela Instituição, bem como em projetos de pesquisa e</w:t>
      </w:r>
      <w:r>
        <w:rPr>
          <w:spacing w:val="-3"/>
          <w:sz w:val="24"/>
        </w:rPr>
        <w:t> </w:t>
      </w:r>
      <w:r>
        <w:rPr>
          <w:sz w:val="24"/>
        </w:rPr>
        <w:t>extensão;</w:t>
      </w:r>
    </w:p>
    <w:p>
      <w:pPr>
        <w:pStyle w:val="ListParagraph"/>
        <w:numPr>
          <w:ilvl w:val="0"/>
          <w:numId w:val="10"/>
        </w:numPr>
        <w:tabs>
          <w:tab w:pos="1300" w:val="left" w:leader="none"/>
          <w:tab w:pos="1301" w:val="left" w:leader="none"/>
        </w:tabs>
        <w:spacing w:line="244" w:lineRule="auto" w:before="84" w:after="0"/>
        <w:ind w:left="1300" w:right="965" w:hanging="360"/>
        <w:jc w:val="left"/>
        <w:rPr>
          <w:rFonts w:ascii="Arial Black" w:hAnsi="Arial Black"/>
          <w:sz w:val="28"/>
        </w:rPr>
      </w:pPr>
      <w:r>
        <w:rPr>
          <w:sz w:val="24"/>
        </w:rPr>
        <w:t>Realização de consultas públicas, tanto à comunidade interna quanto à externa à universidade;</w:t>
      </w:r>
    </w:p>
    <w:p>
      <w:pPr>
        <w:spacing w:after="0" w:line="244" w:lineRule="auto"/>
        <w:jc w:val="left"/>
        <w:rPr>
          <w:rFonts w:ascii="Arial Black" w:hAnsi="Arial Black"/>
          <w:sz w:val="28"/>
        </w:rPr>
        <w:sectPr>
          <w:pgSz w:w="11910" w:h="16840"/>
          <w:pgMar w:header="763" w:footer="488" w:top="1640" w:bottom="680" w:left="860" w:right="480"/>
        </w:sectPr>
      </w:pPr>
    </w:p>
    <w:p>
      <w:pPr>
        <w:pStyle w:val="ListParagraph"/>
        <w:numPr>
          <w:ilvl w:val="0"/>
          <w:numId w:val="10"/>
        </w:numPr>
        <w:tabs>
          <w:tab w:pos="1301" w:val="left" w:leader="none"/>
        </w:tabs>
        <w:spacing w:line="244" w:lineRule="auto" w:before="140" w:after="0"/>
        <w:ind w:left="1300" w:right="955" w:hanging="360"/>
        <w:jc w:val="both"/>
        <w:rPr>
          <w:rFonts w:ascii="Arial Black" w:hAnsi="Arial Black"/>
          <w:sz w:val="28"/>
        </w:rPr>
      </w:pPr>
      <w:r>
        <w:rPr>
          <w:sz w:val="24"/>
        </w:rPr>
        <w:t>Catalogação no Portal Brasileiro de Dados Abertos, conforme Seção 5, e outros catálogos de dados abertos, conforme natureza dos</w:t>
      </w:r>
      <w:r>
        <w:rPr>
          <w:spacing w:val="-2"/>
          <w:sz w:val="24"/>
        </w:rPr>
        <w:t> </w:t>
      </w:r>
      <w:r>
        <w:rPr>
          <w:sz w:val="24"/>
        </w:rPr>
        <w:t>dados;</w:t>
      </w:r>
    </w:p>
    <w:p>
      <w:pPr>
        <w:pStyle w:val="ListParagraph"/>
        <w:numPr>
          <w:ilvl w:val="0"/>
          <w:numId w:val="10"/>
        </w:numPr>
        <w:tabs>
          <w:tab w:pos="1301" w:val="left" w:leader="none"/>
        </w:tabs>
        <w:spacing w:line="264" w:lineRule="auto" w:before="83" w:after="0"/>
        <w:ind w:left="1300" w:right="958" w:hanging="360"/>
        <w:jc w:val="both"/>
        <w:rPr>
          <w:rFonts w:ascii="Arial Black" w:hAnsi="Arial Black"/>
          <w:sz w:val="28"/>
        </w:rPr>
      </w:pPr>
      <w:r>
        <w:rPr>
          <w:sz w:val="24"/>
        </w:rPr>
        <w:t>Publicação do relatório anual </w:t>
      </w:r>
      <w:r>
        <w:rPr>
          <w:color w:val="000009"/>
          <w:sz w:val="24"/>
        </w:rPr>
        <w:t>(no sítio eletrônico e/ou em outros meios), </w:t>
      </w:r>
      <w:r>
        <w:rPr>
          <w:sz w:val="24"/>
        </w:rPr>
        <w:t>contendo informações sobre o cumprimento das metas estabelecidas no PDA, as estatísticas de acesso aos dados e demais assuntos tratados sobre a abertura das bases de dados no período;</w:t>
      </w:r>
    </w:p>
    <w:p>
      <w:pPr>
        <w:pStyle w:val="ListParagraph"/>
        <w:numPr>
          <w:ilvl w:val="0"/>
          <w:numId w:val="10"/>
        </w:numPr>
        <w:tabs>
          <w:tab w:pos="1301" w:val="left" w:leader="none"/>
        </w:tabs>
        <w:spacing w:line="244" w:lineRule="auto" w:before="54" w:after="0"/>
        <w:ind w:left="1300" w:right="957" w:hanging="360"/>
        <w:jc w:val="both"/>
        <w:rPr>
          <w:rFonts w:ascii="Arial Black" w:hAnsi="Arial Black"/>
          <w:sz w:val="28"/>
        </w:rPr>
      </w:pPr>
      <w:r>
        <w:rPr>
          <w:sz w:val="24"/>
        </w:rPr>
        <w:t>Publicação de notícias e </w:t>
      </w:r>
      <w:r>
        <w:rPr>
          <w:i/>
          <w:sz w:val="24"/>
        </w:rPr>
        <w:t>releases </w:t>
      </w:r>
      <w:r>
        <w:rPr>
          <w:sz w:val="24"/>
        </w:rPr>
        <w:t>no site da UFRPE e em outros canais, como os perfis institucionais nas redes</w:t>
      </w:r>
      <w:r>
        <w:rPr>
          <w:spacing w:val="-1"/>
          <w:sz w:val="24"/>
        </w:rPr>
        <w:t> </w:t>
      </w:r>
      <w:r>
        <w:rPr>
          <w:sz w:val="24"/>
        </w:rPr>
        <w:t>sociais;</w:t>
      </w:r>
    </w:p>
    <w:p>
      <w:pPr>
        <w:pStyle w:val="ListParagraph"/>
        <w:numPr>
          <w:ilvl w:val="0"/>
          <w:numId w:val="10"/>
        </w:numPr>
        <w:tabs>
          <w:tab w:pos="1301" w:val="left" w:leader="none"/>
        </w:tabs>
        <w:spacing w:line="244" w:lineRule="auto" w:before="85" w:after="0"/>
        <w:ind w:left="1300" w:right="959" w:hanging="360"/>
        <w:jc w:val="both"/>
        <w:rPr>
          <w:rFonts w:ascii="Arial Black" w:hAnsi="Arial Black"/>
          <w:sz w:val="28"/>
        </w:rPr>
      </w:pPr>
      <w:r>
        <w:rPr>
          <w:sz w:val="24"/>
        </w:rPr>
        <w:t>Outros espaços de divulgação interna e externa, como a fixação de cartazes ou posters nos murais da</w:t>
      </w:r>
      <w:r>
        <w:rPr>
          <w:spacing w:val="-1"/>
          <w:sz w:val="24"/>
        </w:rPr>
        <w:t> </w:t>
      </w:r>
      <w:r>
        <w:rPr>
          <w:sz w:val="24"/>
        </w:rPr>
        <w:t>universidade.</w:t>
      </w:r>
    </w:p>
    <w:p>
      <w:pPr>
        <w:pStyle w:val="BodyText"/>
        <w:rPr>
          <w:sz w:val="26"/>
        </w:rPr>
      </w:pPr>
    </w:p>
    <w:p>
      <w:pPr>
        <w:pStyle w:val="Heading1"/>
        <w:numPr>
          <w:ilvl w:val="1"/>
          <w:numId w:val="9"/>
        </w:numPr>
        <w:tabs>
          <w:tab w:pos="2463" w:val="left" w:leader="none"/>
        </w:tabs>
        <w:spacing w:line="240" w:lineRule="auto" w:before="219" w:after="0"/>
        <w:ind w:left="2463" w:right="0" w:hanging="181"/>
        <w:jc w:val="left"/>
        <w:rPr>
          <w:color w:val="000009"/>
          <w:sz w:val="22"/>
        </w:rPr>
      </w:pPr>
      <w:bookmarkStart w:name="_TOC_250002" w:id="7"/>
      <w:r>
        <w:rPr>
          <w:color w:val="000009"/>
        </w:rPr>
        <w:t>Plano de</w:t>
      </w:r>
      <w:r>
        <w:rPr>
          <w:color w:val="000009"/>
          <w:spacing w:val="-2"/>
        </w:rPr>
        <w:t> </w:t>
      </w:r>
      <w:bookmarkEnd w:id="7"/>
      <w:r>
        <w:rPr>
          <w:color w:val="000009"/>
        </w:rPr>
        <w:t>Ação.</w:t>
      </w:r>
    </w:p>
    <w:p>
      <w:pPr>
        <w:pStyle w:val="BodyText"/>
        <w:spacing w:before="5"/>
        <w:rPr>
          <w:b/>
          <w:sz w:val="34"/>
        </w:rPr>
      </w:pPr>
    </w:p>
    <w:p>
      <w:pPr>
        <w:pStyle w:val="BodyText"/>
        <w:spacing w:line="276" w:lineRule="auto"/>
        <w:ind w:left="580" w:right="964"/>
      </w:pPr>
      <w:r>
        <w:rPr/>
        <w:t>Este plano de ação </w:t>
      </w:r>
      <w:r>
        <w:rPr>
          <w:color w:val="000009"/>
        </w:rPr>
        <w:t>descreve, de forma macro, as </w:t>
      </w:r>
      <w:r>
        <w:rPr/>
        <w:t>atividades e responsabilidades relacionadas ao processo de publicação dos Dados Abertos da UFRPE.</w:t>
      </w:r>
    </w:p>
    <w:p>
      <w:pPr>
        <w:pStyle w:val="BodyText"/>
        <w:spacing w:before="9"/>
        <w:rPr>
          <w:sz w:val="5"/>
        </w:rPr>
      </w:pPr>
    </w:p>
    <w:tbl>
      <w:tblPr>
        <w:tblW w:w="0" w:type="auto"/>
        <w:jc w:val="left"/>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8"/>
        <w:gridCol w:w="2741"/>
        <w:gridCol w:w="2803"/>
        <w:gridCol w:w="1133"/>
        <w:gridCol w:w="1985"/>
      </w:tblGrid>
      <w:tr>
        <w:trPr>
          <w:trHeight w:val="474" w:hRule="atLeast"/>
        </w:trPr>
        <w:tc>
          <w:tcPr>
            <w:tcW w:w="578" w:type="dxa"/>
            <w:shd w:val="clear" w:color="auto" w:fill="D4DCE3"/>
          </w:tcPr>
          <w:p>
            <w:pPr>
              <w:pStyle w:val="TableParagraph"/>
              <w:ind w:left="0"/>
              <w:rPr>
                <w:sz w:val="22"/>
              </w:rPr>
            </w:pPr>
          </w:p>
        </w:tc>
        <w:tc>
          <w:tcPr>
            <w:tcW w:w="2741" w:type="dxa"/>
            <w:shd w:val="clear" w:color="auto" w:fill="D4DCE3"/>
          </w:tcPr>
          <w:p>
            <w:pPr>
              <w:pStyle w:val="TableParagraph"/>
              <w:spacing w:before="97"/>
              <w:rPr>
                <w:b/>
                <w:sz w:val="24"/>
              </w:rPr>
            </w:pPr>
            <w:r>
              <w:rPr>
                <w:b/>
                <w:sz w:val="24"/>
              </w:rPr>
              <w:t>Ação</w:t>
            </w:r>
          </w:p>
        </w:tc>
        <w:tc>
          <w:tcPr>
            <w:tcW w:w="2803" w:type="dxa"/>
            <w:shd w:val="clear" w:color="auto" w:fill="D4DCE3"/>
          </w:tcPr>
          <w:p>
            <w:pPr>
              <w:pStyle w:val="TableParagraph"/>
              <w:spacing w:before="97"/>
              <w:rPr>
                <w:b/>
                <w:sz w:val="24"/>
              </w:rPr>
            </w:pPr>
            <w:r>
              <w:rPr>
                <w:b/>
                <w:sz w:val="24"/>
              </w:rPr>
              <w:t>Atividades</w:t>
            </w:r>
          </w:p>
        </w:tc>
        <w:tc>
          <w:tcPr>
            <w:tcW w:w="1133" w:type="dxa"/>
            <w:shd w:val="clear" w:color="auto" w:fill="D4DCE3"/>
          </w:tcPr>
          <w:p>
            <w:pPr>
              <w:pStyle w:val="TableParagraph"/>
              <w:spacing w:before="97"/>
              <w:ind w:left="70"/>
              <w:rPr>
                <w:b/>
                <w:sz w:val="24"/>
              </w:rPr>
            </w:pPr>
            <w:r>
              <w:rPr>
                <w:b/>
                <w:sz w:val="24"/>
              </w:rPr>
              <w:t>Prazo</w:t>
            </w:r>
          </w:p>
        </w:tc>
        <w:tc>
          <w:tcPr>
            <w:tcW w:w="1985" w:type="dxa"/>
            <w:shd w:val="clear" w:color="auto" w:fill="D4DCE3"/>
          </w:tcPr>
          <w:p>
            <w:pPr>
              <w:pStyle w:val="TableParagraph"/>
              <w:spacing w:before="97"/>
              <w:ind w:left="70"/>
              <w:rPr>
                <w:b/>
                <w:sz w:val="24"/>
              </w:rPr>
            </w:pPr>
            <w:r>
              <w:rPr>
                <w:b/>
                <w:sz w:val="24"/>
              </w:rPr>
              <w:t>Responsáveis</w:t>
            </w:r>
          </w:p>
        </w:tc>
      </w:tr>
      <w:tr>
        <w:trPr>
          <w:trHeight w:val="373" w:hRule="atLeast"/>
        </w:trPr>
        <w:tc>
          <w:tcPr>
            <w:tcW w:w="578" w:type="dxa"/>
            <w:tcBorders>
              <w:bottom w:val="nil"/>
            </w:tcBorders>
          </w:tcPr>
          <w:p>
            <w:pPr>
              <w:pStyle w:val="TableParagraph"/>
              <w:spacing w:line="261" w:lineRule="exact" w:before="92"/>
              <w:rPr>
                <w:sz w:val="24"/>
              </w:rPr>
            </w:pPr>
            <w:r>
              <w:rPr>
                <w:sz w:val="24"/>
              </w:rPr>
              <w:t>1</w:t>
            </w:r>
          </w:p>
        </w:tc>
        <w:tc>
          <w:tcPr>
            <w:tcW w:w="2741" w:type="dxa"/>
            <w:tcBorders>
              <w:bottom w:val="nil"/>
            </w:tcBorders>
          </w:tcPr>
          <w:p>
            <w:pPr>
              <w:pStyle w:val="TableParagraph"/>
              <w:spacing w:line="261" w:lineRule="exact" w:before="92"/>
              <w:rPr>
                <w:sz w:val="24"/>
              </w:rPr>
            </w:pPr>
            <w:r>
              <w:rPr>
                <w:sz w:val="24"/>
              </w:rPr>
              <w:t>Estabelecer a governança</w:t>
            </w:r>
          </w:p>
        </w:tc>
        <w:tc>
          <w:tcPr>
            <w:tcW w:w="2803" w:type="dxa"/>
            <w:tcBorders>
              <w:bottom w:val="nil"/>
            </w:tcBorders>
          </w:tcPr>
          <w:p>
            <w:pPr>
              <w:pStyle w:val="TableParagraph"/>
              <w:spacing w:line="261" w:lineRule="exact" w:before="92"/>
              <w:rPr>
                <w:sz w:val="24"/>
              </w:rPr>
            </w:pPr>
            <w:r>
              <w:rPr>
                <w:sz w:val="24"/>
              </w:rPr>
              <w:t>Criação e instalação do</w:t>
            </w:r>
          </w:p>
        </w:tc>
        <w:tc>
          <w:tcPr>
            <w:tcW w:w="1133" w:type="dxa"/>
            <w:tcBorders>
              <w:bottom w:val="nil"/>
            </w:tcBorders>
          </w:tcPr>
          <w:p>
            <w:pPr>
              <w:pStyle w:val="TableParagraph"/>
              <w:spacing w:line="261" w:lineRule="exact" w:before="92"/>
              <w:ind w:left="70"/>
              <w:rPr>
                <w:sz w:val="24"/>
              </w:rPr>
            </w:pPr>
            <w:r>
              <w:rPr>
                <w:sz w:val="24"/>
              </w:rPr>
              <w:t>jun-17</w:t>
            </w:r>
          </w:p>
        </w:tc>
        <w:tc>
          <w:tcPr>
            <w:tcW w:w="1985" w:type="dxa"/>
            <w:tcBorders>
              <w:bottom w:val="nil"/>
            </w:tcBorders>
          </w:tcPr>
          <w:p>
            <w:pPr>
              <w:pStyle w:val="TableParagraph"/>
              <w:spacing w:line="261" w:lineRule="exact" w:before="92"/>
              <w:ind w:left="70"/>
              <w:rPr>
                <w:sz w:val="24"/>
              </w:rPr>
            </w:pPr>
            <w:r>
              <w:rPr>
                <w:sz w:val="24"/>
              </w:rPr>
              <w:t>CTI</w:t>
            </w:r>
          </w:p>
        </w:tc>
      </w:tr>
      <w:tr>
        <w:trPr>
          <w:trHeight w:val="275"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spacing w:line="256" w:lineRule="exact"/>
              <w:rPr>
                <w:sz w:val="24"/>
              </w:rPr>
            </w:pPr>
            <w:r>
              <w:rPr>
                <w:sz w:val="24"/>
              </w:rPr>
              <w:t>da política de dados</w:t>
            </w:r>
          </w:p>
        </w:tc>
        <w:tc>
          <w:tcPr>
            <w:tcW w:w="2803" w:type="dxa"/>
            <w:tcBorders>
              <w:top w:val="nil"/>
              <w:bottom w:val="nil"/>
            </w:tcBorders>
          </w:tcPr>
          <w:p>
            <w:pPr>
              <w:pStyle w:val="TableParagraph"/>
              <w:spacing w:line="256" w:lineRule="exact"/>
              <w:rPr>
                <w:sz w:val="24"/>
              </w:rPr>
            </w:pPr>
            <w:r>
              <w:rPr>
                <w:sz w:val="24"/>
              </w:rPr>
              <w:t>CTDA, designação dos</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276"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spacing w:line="256" w:lineRule="exact"/>
              <w:rPr>
                <w:sz w:val="24"/>
              </w:rPr>
            </w:pPr>
            <w:r>
              <w:rPr>
                <w:sz w:val="24"/>
              </w:rPr>
              <w:t>abertos</w:t>
            </w:r>
          </w:p>
        </w:tc>
        <w:tc>
          <w:tcPr>
            <w:tcW w:w="2803" w:type="dxa"/>
            <w:tcBorders>
              <w:top w:val="nil"/>
              <w:bottom w:val="nil"/>
            </w:tcBorders>
          </w:tcPr>
          <w:p>
            <w:pPr>
              <w:pStyle w:val="TableParagraph"/>
              <w:spacing w:line="256" w:lineRule="exact"/>
              <w:rPr>
                <w:sz w:val="24"/>
              </w:rPr>
            </w:pPr>
            <w:r>
              <w:rPr>
                <w:sz w:val="24"/>
              </w:rPr>
              <w:t>integrantes/componentes,</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379" w:hRule="atLeast"/>
        </w:trPr>
        <w:tc>
          <w:tcPr>
            <w:tcW w:w="578" w:type="dxa"/>
            <w:tcBorders>
              <w:top w:val="nil"/>
            </w:tcBorders>
          </w:tcPr>
          <w:p>
            <w:pPr>
              <w:pStyle w:val="TableParagraph"/>
              <w:ind w:left="0"/>
              <w:rPr>
                <w:sz w:val="22"/>
              </w:rPr>
            </w:pPr>
          </w:p>
        </w:tc>
        <w:tc>
          <w:tcPr>
            <w:tcW w:w="2741" w:type="dxa"/>
            <w:tcBorders>
              <w:top w:val="nil"/>
            </w:tcBorders>
          </w:tcPr>
          <w:p>
            <w:pPr>
              <w:pStyle w:val="TableParagraph"/>
              <w:ind w:left="0"/>
              <w:rPr>
                <w:sz w:val="22"/>
              </w:rPr>
            </w:pPr>
          </w:p>
        </w:tc>
        <w:tc>
          <w:tcPr>
            <w:tcW w:w="2803" w:type="dxa"/>
            <w:tcBorders>
              <w:top w:val="nil"/>
            </w:tcBorders>
          </w:tcPr>
          <w:p>
            <w:pPr>
              <w:pStyle w:val="TableParagraph"/>
              <w:spacing w:line="271" w:lineRule="exact"/>
              <w:rPr>
                <w:sz w:val="24"/>
              </w:rPr>
            </w:pPr>
            <w:r>
              <w:rPr>
                <w:sz w:val="24"/>
              </w:rPr>
              <w:t>entre outros</w:t>
            </w:r>
          </w:p>
        </w:tc>
        <w:tc>
          <w:tcPr>
            <w:tcW w:w="1133" w:type="dxa"/>
            <w:tcBorders>
              <w:top w:val="nil"/>
            </w:tcBorders>
          </w:tcPr>
          <w:p>
            <w:pPr>
              <w:pStyle w:val="TableParagraph"/>
              <w:ind w:left="0"/>
              <w:rPr>
                <w:sz w:val="22"/>
              </w:rPr>
            </w:pPr>
          </w:p>
        </w:tc>
        <w:tc>
          <w:tcPr>
            <w:tcW w:w="1985" w:type="dxa"/>
            <w:tcBorders>
              <w:top w:val="nil"/>
            </w:tcBorders>
          </w:tcPr>
          <w:p>
            <w:pPr>
              <w:pStyle w:val="TableParagraph"/>
              <w:ind w:left="0"/>
              <w:rPr>
                <w:sz w:val="22"/>
              </w:rPr>
            </w:pPr>
          </w:p>
        </w:tc>
      </w:tr>
      <w:tr>
        <w:trPr>
          <w:trHeight w:val="1580" w:hRule="atLeast"/>
        </w:trPr>
        <w:tc>
          <w:tcPr>
            <w:tcW w:w="578" w:type="dxa"/>
          </w:tcPr>
          <w:p>
            <w:pPr>
              <w:pStyle w:val="TableParagraph"/>
              <w:spacing w:before="92"/>
              <w:rPr>
                <w:sz w:val="24"/>
              </w:rPr>
            </w:pPr>
            <w:r>
              <w:rPr>
                <w:sz w:val="24"/>
              </w:rPr>
              <w:t>2</w:t>
            </w:r>
          </w:p>
        </w:tc>
        <w:tc>
          <w:tcPr>
            <w:tcW w:w="2741" w:type="dxa"/>
          </w:tcPr>
          <w:p>
            <w:pPr>
              <w:pStyle w:val="TableParagraph"/>
              <w:spacing w:before="92"/>
              <w:rPr>
                <w:sz w:val="24"/>
              </w:rPr>
            </w:pPr>
            <w:r>
              <w:rPr>
                <w:sz w:val="24"/>
              </w:rPr>
              <w:t>Consultar a comunidade</w:t>
            </w:r>
          </w:p>
        </w:tc>
        <w:tc>
          <w:tcPr>
            <w:tcW w:w="2803" w:type="dxa"/>
          </w:tcPr>
          <w:p>
            <w:pPr>
              <w:pStyle w:val="TableParagraph"/>
              <w:spacing w:before="92"/>
              <w:ind w:right="395"/>
              <w:rPr>
                <w:sz w:val="24"/>
              </w:rPr>
            </w:pPr>
            <w:r>
              <w:rPr>
                <w:sz w:val="24"/>
              </w:rPr>
              <w:t>Realizar consulta com a comunidade interna e externa a respeito das principais demandas de dados</w:t>
            </w:r>
          </w:p>
        </w:tc>
        <w:tc>
          <w:tcPr>
            <w:tcW w:w="1133" w:type="dxa"/>
          </w:tcPr>
          <w:p>
            <w:pPr>
              <w:pStyle w:val="TableParagraph"/>
              <w:spacing w:before="92"/>
              <w:ind w:left="70"/>
              <w:rPr>
                <w:sz w:val="24"/>
              </w:rPr>
            </w:pPr>
            <w:r>
              <w:rPr>
                <w:sz w:val="24"/>
              </w:rPr>
              <w:t>ago-17</w:t>
            </w:r>
          </w:p>
        </w:tc>
        <w:tc>
          <w:tcPr>
            <w:tcW w:w="1985" w:type="dxa"/>
          </w:tcPr>
          <w:p>
            <w:pPr>
              <w:pStyle w:val="TableParagraph"/>
              <w:spacing w:before="92"/>
              <w:ind w:left="70"/>
              <w:rPr>
                <w:sz w:val="24"/>
              </w:rPr>
            </w:pPr>
            <w:r>
              <w:rPr>
                <w:sz w:val="24"/>
              </w:rPr>
              <w:t>CTDA/CTI</w:t>
            </w:r>
          </w:p>
        </w:tc>
      </w:tr>
      <w:tr>
        <w:trPr>
          <w:trHeight w:val="1026" w:hRule="atLeast"/>
        </w:trPr>
        <w:tc>
          <w:tcPr>
            <w:tcW w:w="578" w:type="dxa"/>
          </w:tcPr>
          <w:p>
            <w:pPr>
              <w:pStyle w:val="TableParagraph"/>
              <w:spacing w:before="93"/>
              <w:rPr>
                <w:sz w:val="24"/>
              </w:rPr>
            </w:pPr>
            <w:r>
              <w:rPr>
                <w:sz w:val="24"/>
              </w:rPr>
              <w:t>3</w:t>
            </w:r>
          </w:p>
        </w:tc>
        <w:tc>
          <w:tcPr>
            <w:tcW w:w="2741" w:type="dxa"/>
          </w:tcPr>
          <w:p>
            <w:pPr>
              <w:pStyle w:val="TableParagraph"/>
              <w:spacing w:before="93"/>
              <w:ind w:right="686"/>
              <w:rPr>
                <w:sz w:val="24"/>
              </w:rPr>
            </w:pPr>
            <w:r>
              <w:rPr>
                <w:sz w:val="24"/>
              </w:rPr>
              <w:t>Levantar dados para abertura</w:t>
            </w:r>
          </w:p>
        </w:tc>
        <w:tc>
          <w:tcPr>
            <w:tcW w:w="2803" w:type="dxa"/>
          </w:tcPr>
          <w:p>
            <w:pPr>
              <w:pStyle w:val="TableParagraph"/>
              <w:spacing w:before="93"/>
              <w:ind w:right="148"/>
              <w:rPr>
                <w:sz w:val="24"/>
              </w:rPr>
            </w:pPr>
            <w:r>
              <w:rPr>
                <w:sz w:val="24"/>
              </w:rPr>
              <w:t>Realizar levantamento dos dados passíveis de publicação.</w:t>
            </w:r>
          </w:p>
        </w:tc>
        <w:tc>
          <w:tcPr>
            <w:tcW w:w="1133" w:type="dxa"/>
          </w:tcPr>
          <w:p>
            <w:pPr>
              <w:pStyle w:val="TableParagraph"/>
              <w:spacing w:before="93"/>
              <w:ind w:left="70"/>
              <w:rPr>
                <w:sz w:val="24"/>
              </w:rPr>
            </w:pPr>
            <w:r>
              <w:rPr>
                <w:sz w:val="24"/>
              </w:rPr>
              <w:t>ago-17</w:t>
            </w:r>
          </w:p>
        </w:tc>
        <w:tc>
          <w:tcPr>
            <w:tcW w:w="1985" w:type="dxa"/>
          </w:tcPr>
          <w:p>
            <w:pPr>
              <w:pStyle w:val="TableParagraph"/>
              <w:spacing w:before="93"/>
              <w:ind w:left="70"/>
              <w:rPr>
                <w:sz w:val="24"/>
              </w:rPr>
            </w:pPr>
            <w:r>
              <w:rPr>
                <w:sz w:val="24"/>
              </w:rPr>
              <w:t>CTDA/CTI</w:t>
            </w:r>
          </w:p>
        </w:tc>
      </w:tr>
      <w:tr>
        <w:trPr>
          <w:trHeight w:val="1028" w:hRule="atLeast"/>
        </w:trPr>
        <w:tc>
          <w:tcPr>
            <w:tcW w:w="578" w:type="dxa"/>
          </w:tcPr>
          <w:p>
            <w:pPr>
              <w:pStyle w:val="TableParagraph"/>
              <w:spacing w:before="92"/>
              <w:rPr>
                <w:sz w:val="24"/>
              </w:rPr>
            </w:pPr>
            <w:r>
              <w:rPr>
                <w:sz w:val="24"/>
              </w:rPr>
              <w:t>4</w:t>
            </w:r>
          </w:p>
        </w:tc>
        <w:tc>
          <w:tcPr>
            <w:tcW w:w="2741" w:type="dxa"/>
          </w:tcPr>
          <w:p>
            <w:pPr>
              <w:pStyle w:val="TableParagraph"/>
              <w:spacing w:before="92"/>
              <w:ind w:right="959"/>
              <w:rPr>
                <w:sz w:val="24"/>
              </w:rPr>
            </w:pPr>
            <w:r>
              <w:rPr>
                <w:sz w:val="24"/>
              </w:rPr>
              <w:t>Priorizaros dados levantados</w:t>
            </w:r>
          </w:p>
        </w:tc>
        <w:tc>
          <w:tcPr>
            <w:tcW w:w="2803" w:type="dxa"/>
          </w:tcPr>
          <w:p>
            <w:pPr>
              <w:pStyle w:val="TableParagraph"/>
              <w:spacing w:before="92"/>
              <w:ind w:right="61"/>
              <w:rPr>
                <w:sz w:val="24"/>
              </w:rPr>
            </w:pPr>
            <w:r>
              <w:rPr>
                <w:sz w:val="24"/>
              </w:rPr>
              <w:t>Priorizar os dados a serem publicados de acordo como definido na Seção 4.</w:t>
            </w:r>
          </w:p>
        </w:tc>
        <w:tc>
          <w:tcPr>
            <w:tcW w:w="1133" w:type="dxa"/>
          </w:tcPr>
          <w:p>
            <w:pPr>
              <w:pStyle w:val="TableParagraph"/>
              <w:spacing w:before="92"/>
              <w:ind w:left="70"/>
              <w:rPr>
                <w:sz w:val="24"/>
              </w:rPr>
            </w:pPr>
            <w:r>
              <w:rPr>
                <w:sz w:val="24"/>
              </w:rPr>
              <w:t>set-17</w:t>
            </w:r>
          </w:p>
        </w:tc>
        <w:tc>
          <w:tcPr>
            <w:tcW w:w="1985" w:type="dxa"/>
          </w:tcPr>
          <w:p>
            <w:pPr>
              <w:pStyle w:val="TableParagraph"/>
              <w:spacing w:before="92"/>
              <w:ind w:left="70"/>
              <w:rPr>
                <w:sz w:val="24"/>
              </w:rPr>
            </w:pPr>
            <w:r>
              <w:rPr>
                <w:sz w:val="24"/>
              </w:rPr>
              <w:t>CTDA/CTI</w:t>
            </w:r>
          </w:p>
        </w:tc>
      </w:tr>
      <w:tr>
        <w:trPr>
          <w:trHeight w:val="1339" w:hRule="atLeast"/>
        </w:trPr>
        <w:tc>
          <w:tcPr>
            <w:tcW w:w="578" w:type="dxa"/>
            <w:tcBorders>
              <w:bottom w:val="nil"/>
            </w:tcBorders>
          </w:tcPr>
          <w:p>
            <w:pPr>
              <w:pStyle w:val="TableParagraph"/>
              <w:spacing w:before="92"/>
              <w:rPr>
                <w:sz w:val="24"/>
              </w:rPr>
            </w:pPr>
            <w:r>
              <w:rPr>
                <w:sz w:val="24"/>
              </w:rPr>
              <w:t>5</w:t>
            </w:r>
          </w:p>
        </w:tc>
        <w:tc>
          <w:tcPr>
            <w:tcW w:w="2741" w:type="dxa"/>
            <w:tcBorders>
              <w:bottom w:val="nil"/>
            </w:tcBorders>
          </w:tcPr>
          <w:p>
            <w:pPr>
              <w:pStyle w:val="TableParagraph"/>
              <w:spacing w:before="92"/>
              <w:ind w:right="612"/>
              <w:rPr>
                <w:sz w:val="24"/>
              </w:rPr>
            </w:pPr>
            <w:r>
              <w:rPr>
                <w:sz w:val="24"/>
              </w:rPr>
              <w:t>Definirarquitetura de publicação</w:t>
            </w:r>
          </w:p>
        </w:tc>
        <w:tc>
          <w:tcPr>
            <w:tcW w:w="2803" w:type="dxa"/>
            <w:tcBorders>
              <w:bottom w:val="nil"/>
            </w:tcBorders>
          </w:tcPr>
          <w:p>
            <w:pPr>
              <w:pStyle w:val="TableParagraph"/>
              <w:spacing w:before="92"/>
              <w:ind w:right="88"/>
              <w:rPr>
                <w:sz w:val="24"/>
              </w:rPr>
            </w:pPr>
            <w:r>
              <w:rPr>
                <w:sz w:val="24"/>
              </w:rPr>
              <w:t>Realizar o levantamento de soluções para publicação de dados abertos governamentais.</w:t>
            </w:r>
          </w:p>
        </w:tc>
        <w:tc>
          <w:tcPr>
            <w:tcW w:w="1133" w:type="dxa"/>
            <w:tcBorders>
              <w:bottom w:val="nil"/>
            </w:tcBorders>
          </w:tcPr>
          <w:p>
            <w:pPr>
              <w:pStyle w:val="TableParagraph"/>
              <w:spacing w:before="92"/>
              <w:ind w:left="70"/>
              <w:rPr>
                <w:sz w:val="24"/>
              </w:rPr>
            </w:pPr>
            <w:r>
              <w:rPr>
                <w:sz w:val="24"/>
              </w:rPr>
              <w:t>out-17</w:t>
            </w:r>
          </w:p>
        </w:tc>
        <w:tc>
          <w:tcPr>
            <w:tcW w:w="1985" w:type="dxa"/>
            <w:tcBorders>
              <w:bottom w:val="nil"/>
            </w:tcBorders>
          </w:tcPr>
          <w:p>
            <w:pPr>
              <w:pStyle w:val="TableParagraph"/>
              <w:spacing w:before="92"/>
              <w:ind w:left="70"/>
              <w:rPr>
                <w:sz w:val="24"/>
              </w:rPr>
            </w:pPr>
            <w:r>
              <w:rPr>
                <w:sz w:val="24"/>
              </w:rPr>
              <w:t>NTI/CTDA</w:t>
            </w:r>
          </w:p>
        </w:tc>
      </w:tr>
      <w:tr>
        <w:trPr>
          <w:trHeight w:val="1069" w:hRule="atLeast"/>
        </w:trPr>
        <w:tc>
          <w:tcPr>
            <w:tcW w:w="578" w:type="dxa"/>
            <w:tcBorders>
              <w:top w:val="nil"/>
            </w:tcBorders>
          </w:tcPr>
          <w:p>
            <w:pPr>
              <w:pStyle w:val="TableParagraph"/>
              <w:ind w:left="0"/>
              <w:rPr>
                <w:sz w:val="22"/>
              </w:rPr>
            </w:pPr>
          </w:p>
        </w:tc>
        <w:tc>
          <w:tcPr>
            <w:tcW w:w="2741" w:type="dxa"/>
            <w:tcBorders>
              <w:top w:val="nil"/>
            </w:tcBorders>
          </w:tcPr>
          <w:p>
            <w:pPr>
              <w:pStyle w:val="TableParagraph"/>
              <w:ind w:left="0"/>
              <w:rPr>
                <w:sz w:val="22"/>
              </w:rPr>
            </w:pPr>
          </w:p>
        </w:tc>
        <w:tc>
          <w:tcPr>
            <w:tcW w:w="2803" w:type="dxa"/>
            <w:tcBorders>
              <w:top w:val="nil"/>
            </w:tcBorders>
          </w:tcPr>
          <w:p>
            <w:pPr>
              <w:pStyle w:val="TableParagraph"/>
              <w:spacing w:before="133"/>
              <w:ind w:right="195"/>
              <w:rPr>
                <w:sz w:val="24"/>
              </w:rPr>
            </w:pPr>
            <w:r>
              <w:rPr>
                <w:sz w:val="24"/>
              </w:rPr>
              <w:t>Definir arquitetura tecnológica a ser utilizada pela UFRPE.</w:t>
            </w:r>
          </w:p>
        </w:tc>
        <w:tc>
          <w:tcPr>
            <w:tcW w:w="1133" w:type="dxa"/>
            <w:tcBorders>
              <w:top w:val="nil"/>
            </w:tcBorders>
          </w:tcPr>
          <w:p>
            <w:pPr>
              <w:pStyle w:val="TableParagraph"/>
              <w:ind w:left="0"/>
              <w:rPr>
                <w:sz w:val="22"/>
              </w:rPr>
            </w:pPr>
          </w:p>
        </w:tc>
        <w:tc>
          <w:tcPr>
            <w:tcW w:w="1985" w:type="dxa"/>
            <w:tcBorders>
              <w:top w:val="nil"/>
            </w:tcBorders>
          </w:tcPr>
          <w:p>
            <w:pPr>
              <w:pStyle w:val="TableParagraph"/>
              <w:ind w:left="0"/>
              <w:rPr>
                <w:sz w:val="22"/>
              </w:rPr>
            </w:pPr>
          </w:p>
        </w:tc>
      </w:tr>
    </w:tbl>
    <w:p>
      <w:pPr>
        <w:spacing w:after="0"/>
        <w:rPr>
          <w:sz w:val="22"/>
        </w:rPr>
        <w:sectPr>
          <w:pgSz w:w="11910" w:h="16840"/>
          <w:pgMar w:header="763" w:footer="488" w:top="1640" w:bottom="680" w:left="860" w:right="480"/>
        </w:sectPr>
      </w:pPr>
    </w:p>
    <w:p>
      <w:pPr>
        <w:pStyle w:val="BodyText"/>
        <w:spacing w:before="5"/>
        <w:rPr>
          <w:sz w:val="8"/>
        </w:rPr>
      </w:pPr>
    </w:p>
    <w:tbl>
      <w:tblPr>
        <w:tblW w:w="0" w:type="auto"/>
        <w:jc w:val="left"/>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8"/>
        <w:gridCol w:w="2741"/>
        <w:gridCol w:w="2803"/>
        <w:gridCol w:w="1133"/>
        <w:gridCol w:w="1985"/>
      </w:tblGrid>
      <w:tr>
        <w:trPr>
          <w:trHeight w:val="787" w:hRule="atLeast"/>
        </w:trPr>
        <w:tc>
          <w:tcPr>
            <w:tcW w:w="578" w:type="dxa"/>
            <w:tcBorders>
              <w:bottom w:val="nil"/>
            </w:tcBorders>
          </w:tcPr>
          <w:p>
            <w:pPr>
              <w:pStyle w:val="TableParagraph"/>
              <w:spacing w:before="92"/>
              <w:rPr>
                <w:sz w:val="24"/>
              </w:rPr>
            </w:pPr>
            <w:r>
              <w:rPr>
                <w:sz w:val="24"/>
              </w:rPr>
              <w:t>6</w:t>
            </w:r>
          </w:p>
        </w:tc>
        <w:tc>
          <w:tcPr>
            <w:tcW w:w="2741" w:type="dxa"/>
            <w:tcBorders>
              <w:bottom w:val="nil"/>
            </w:tcBorders>
          </w:tcPr>
          <w:p>
            <w:pPr>
              <w:pStyle w:val="TableParagraph"/>
              <w:spacing w:before="92"/>
              <w:ind w:right="105"/>
              <w:rPr>
                <w:sz w:val="24"/>
              </w:rPr>
            </w:pPr>
            <w:r>
              <w:rPr>
                <w:sz w:val="24"/>
              </w:rPr>
              <w:t>Desenvolver o Portal de Dados Abertos da UFRPE</w:t>
            </w:r>
          </w:p>
        </w:tc>
        <w:tc>
          <w:tcPr>
            <w:tcW w:w="2803" w:type="dxa"/>
            <w:tcBorders>
              <w:bottom w:val="nil"/>
            </w:tcBorders>
          </w:tcPr>
          <w:p>
            <w:pPr>
              <w:pStyle w:val="TableParagraph"/>
              <w:spacing w:before="92"/>
              <w:ind w:right="208"/>
              <w:rPr>
                <w:sz w:val="24"/>
              </w:rPr>
            </w:pPr>
            <w:r>
              <w:rPr>
                <w:sz w:val="24"/>
              </w:rPr>
              <w:t>Desenvolver o portal para publicação dos dados;</w:t>
            </w:r>
          </w:p>
        </w:tc>
        <w:tc>
          <w:tcPr>
            <w:tcW w:w="1133" w:type="dxa"/>
            <w:tcBorders>
              <w:bottom w:val="nil"/>
            </w:tcBorders>
          </w:tcPr>
          <w:p>
            <w:pPr>
              <w:pStyle w:val="TableParagraph"/>
              <w:spacing w:before="92"/>
              <w:ind w:left="70"/>
              <w:rPr>
                <w:sz w:val="24"/>
              </w:rPr>
            </w:pPr>
            <w:r>
              <w:rPr>
                <w:sz w:val="24"/>
              </w:rPr>
              <w:t>jan-18</w:t>
            </w:r>
          </w:p>
        </w:tc>
        <w:tc>
          <w:tcPr>
            <w:tcW w:w="1985" w:type="dxa"/>
            <w:tcBorders>
              <w:bottom w:val="nil"/>
            </w:tcBorders>
          </w:tcPr>
          <w:p>
            <w:pPr>
              <w:pStyle w:val="TableParagraph"/>
              <w:spacing w:before="92"/>
              <w:ind w:left="70"/>
              <w:rPr>
                <w:sz w:val="24"/>
              </w:rPr>
            </w:pPr>
            <w:r>
              <w:rPr>
                <w:sz w:val="24"/>
              </w:rPr>
              <w:t>NTI/CTDA</w:t>
            </w:r>
          </w:p>
        </w:tc>
      </w:tr>
      <w:tr>
        <w:trPr>
          <w:trHeight w:val="1380" w:hRule="atLeast"/>
        </w:trPr>
        <w:tc>
          <w:tcPr>
            <w:tcW w:w="578" w:type="dxa"/>
            <w:tcBorders>
              <w:top w:val="nil"/>
              <w:bottom w:val="nil"/>
            </w:tcBorders>
          </w:tcPr>
          <w:p>
            <w:pPr>
              <w:pStyle w:val="TableParagraph"/>
              <w:ind w:left="0"/>
              <w:rPr>
                <w:sz w:val="22"/>
              </w:rPr>
            </w:pPr>
          </w:p>
        </w:tc>
        <w:tc>
          <w:tcPr>
            <w:tcW w:w="2741" w:type="dxa"/>
            <w:tcBorders>
              <w:top w:val="nil"/>
              <w:bottom w:val="nil"/>
            </w:tcBorders>
          </w:tcPr>
          <w:p>
            <w:pPr>
              <w:pStyle w:val="TableParagraph"/>
              <w:ind w:left="0"/>
              <w:rPr>
                <w:sz w:val="22"/>
              </w:rPr>
            </w:pPr>
          </w:p>
        </w:tc>
        <w:tc>
          <w:tcPr>
            <w:tcW w:w="2803" w:type="dxa"/>
            <w:tcBorders>
              <w:top w:val="nil"/>
              <w:bottom w:val="nil"/>
            </w:tcBorders>
          </w:tcPr>
          <w:p>
            <w:pPr>
              <w:pStyle w:val="TableParagraph"/>
              <w:spacing w:before="133"/>
              <w:rPr>
                <w:sz w:val="24"/>
              </w:rPr>
            </w:pPr>
            <w:r>
              <w:rPr>
                <w:sz w:val="24"/>
              </w:rPr>
              <w:t>Desenvolver os componentes para publicação dos primeiros conjuntos de dados;</w:t>
            </w:r>
          </w:p>
        </w:tc>
        <w:tc>
          <w:tcPr>
            <w:tcW w:w="1133" w:type="dxa"/>
            <w:tcBorders>
              <w:top w:val="nil"/>
              <w:bottom w:val="nil"/>
            </w:tcBorders>
          </w:tcPr>
          <w:p>
            <w:pPr>
              <w:pStyle w:val="TableParagraph"/>
              <w:ind w:left="0"/>
              <w:rPr>
                <w:sz w:val="22"/>
              </w:rPr>
            </w:pPr>
          </w:p>
        </w:tc>
        <w:tc>
          <w:tcPr>
            <w:tcW w:w="1985" w:type="dxa"/>
            <w:tcBorders>
              <w:top w:val="nil"/>
              <w:bottom w:val="nil"/>
            </w:tcBorders>
          </w:tcPr>
          <w:p>
            <w:pPr>
              <w:pStyle w:val="TableParagraph"/>
              <w:ind w:left="0"/>
              <w:rPr>
                <w:sz w:val="22"/>
              </w:rPr>
            </w:pPr>
          </w:p>
        </w:tc>
      </w:tr>
      <w:tr>
        <w:trPr>
          <w:trHeight w:val="1069" w:hRule="atLeast"/>
        </w:trPr>
        <w:tc>
          <w:tcPr>
            <w:tcW w:w="578" w:type="dxa"/>
            <w:tcBorders>
              <w:top w:val="nil"/>
            </w:tcBorders>
          </w:tcPr>
          <w:p>
            <w:pPr>
              <w:pStyle w:val="TableParagraph"/>
              <w:ind w:left="0"/>
              <w:rPr>
                <w:sz w:val="22"/>
              </w:rPr>
            </w:pPr>
          </w:p>
        </w:tc>
        <w:tc>
          <w:tcPr>
            <w:tcW w:w="2741" w:type="dxa"/>
            <w:tcBorders>
              <w:top w:val="nil"/>
            </w:tcBorders>
          </w:tcPr>
          <w:p>
            <w:pPr>
              <w:pStyle w:val="TableParagraph"/>
              <w:ind w:left="0"/>
              <w:rPr>
                <w:sz w:val="22"/>
              </w:rPr>
            </w:pPr>
          </w:p>
        </w:tc>
        <w:tc>
          <w:tcPr>
            <w:tcW w:w="2803" w:type="dxa"/>
            <w:tcBorders>
              <w:top w:val="nil"/>
            </w:tcBorders>
          </w:tcPr>
          <w:p>
            <w:pPr>
              <w:pStyle w:val="TableParagraph"/>
              <w:spacing w:before="133"/>
              <w:ind w:right="235"/>
              <w:rPr>
                <w:sz w:val="24"/>
              </w:rPr>
            </w:pPr>
            <w:r>
              <w:rPr>
                <w:sz w:val="24"/>
              </w:rPr>
              <w:t>Realizar a publicação dos primeiros conjuntos de dados;</w:t>
            </w:r>
          </w:p>
        </w:tc>
        <w:tc>
          <w:tcPr>
            <w:tcW w:w="1133" w:type="dxa"/>
            <w:tcBorders>
              <w:top w:val="nil"/>
            </w:tcBorders>
          </w:tcPr>
          <w:p>
            <w:pPr>
              <w:pStyle w:val="TableParagraph"/>
              <w:ind w:left="0"/>
              <w:rPr>
                <w:sz w:val="22"/>
              </w:rPr>
            </w:pPr>
          </w:p>
        </w:tc>
        <w:tc>
          <w:tcPr>
            <w:tcW w:w="1985" w:type="dxa"/>
            <w:tcBorders>
              <w:top w:val="nil"/>
            </w:tcBorders>
          </w:tcPr>
          <w:p>
            <w:pPr>
              <w:pStyle w:val="TableParagraph"/>
              <w:ind w:left="0"/>
              <w:rPr>
                <w:sz w:val="22"/>
              </w:rPr>
            </w:pPr>
          </w:p>
        </w:tc>
      </w:tr>
      <w:tr>
        <w:trPr>
          <w:trHeight w:val="1304" w:hRule="atLeast"/>
        </w:trPr>
        <w:tc>
          <w:tcPr>
            <w:tcW w:w="578" w:type="dxa"/>
          </w:tcPr>
          <w:p>
            <w:pPr>
              <w:pStyle w:val="TableParagraph"/>
              <w:spacing w:before="92"/>
              <w:rPr>
                <w:sz w:val="24"/>
              </w:rPr>
            </w:pPr>
            <w:r>
              <w:rPr>
                <w:sz w:val="24"/>
              </w:rPr>
              <w:t>7</w:t>
            </w:r>
          </w:p>
        </w:tc>
        <w:tc>
          <w:tcPr>
            <w:tcW w:w="2741" w:type="dxa"/>
          </w:tcPr>
          <w:p>
            <w:pPr>
              <w:pStyle w:val="TableParagraph"/>
              <w:spacing w:before="92"/>
              <w:rPr>
                <w:sz w:val="24"/>
              </w:rPr>
            </w:pPr>
            <w:r>
              <w:rPr>
                <w:sz w:val="24"/>
              </w:rPr>
              <w:t>Capacitaragentescuradores</w:t>
            </w:r>
          </w:p>
        </w:tc>
        <w:tc>
          <w:tcPr>
            <w:tcW w:w="2803" w:type="dxa"/>
          </w:tcPr>
          <w:p>
            <w:pPr>
              <w:pStyle w:val="TableParagraph"/>
              <w:spacing w:before="92"/>
              <w:ind w:right="181"/>
              <w:rPr>
                <w:sz w:val="24"/>
              </w:rPr>
            </w:pPr>
            <w:r>
              <w:rPr>
                <w:sz w:val="24"/>
              </w:rPr>
              <w:t>Realizar capacitação dos agentes curadores quanto ao processo de publicação de dados.</w:t>
            </w:r>
          </w:p>
        </w:tc>
        <w:tc>
          <w:tcPr>
            <w:tcW w:w="1133" w:type="dxa"/>
          </w:tcPr>
          <w:p>
            <w:pPr>
              <w:pStyle w:val="TableParagraph"/>
              <w:spacing w:before="92"/>
              <w:ind w:left="70"/>
              <w:rPr>
                <w:sz w:val="24"/>
              </w:rPr>
            </w:pPr>
            <w:r>
              <w:rPr>
                <w:sz w:val="24"/>
              </w:rPr>
              <w:t>contínuo</w:t>
            </w:r>
          </w:p>
        </w:tc>
        <w:tc>
          <w:tcPr>
            <w:tcW w:w="1985" w:type="dxa"/>
          </w:tcPr>
          <w:p>
            <w:pPr>
              <w:pStyle w:val="TableParagraph"/>
              <w:spacing w:before="92"/>
              <w:ind w:left="70"/>
              <w:rPr>
                <w:sz w:val="24"/>
              </w:rPr>
            </w:pPr>
            <w:r>
              <w:rPr>
                <w:sz w:val="24"/>
              </w:rPr>
              <w:t>CTDA</w:t>
            </w:r>
          </w:p>
        </w:tc>
      </w:tr>
      <w:tr>
        <w:trPr>
          <w:trHeight w:val="1063" w:hRule="atLeast"/>
        </w:trPr>
        <w:tc>
          <w:tcPr>
            <w:tcW w:w="578" w:type="dxa"/>
            <w:tcBorders>
              <w:bottom w:val="nil"/>
            </w:tcBorders>
          </w:tcPr>
          <w:p>
            <w:pPr>
              <w:pStyle w:val="TableParagraph"/>
              <w:spacing w:before="92"/>
              <w:rPr>
                <w:sz w:val="24"/>
              </w:rPr>
            </w:pPr>
            <w:r>
              <w:rPr>
                <w:sz w:val="24"/>
              </w:rPr>
              <w:t>8</w:t>
            </w:r>
          </w:p>
        </w:tc>
        <w:tc>
          <w:tcPr>
            <w:tcW w:w="2741" w:type="dxa"/>
            <w:tcBorders>
              <w:bottom w:val="nil"/>
            </w:tcBorders>
          </w:tcPr>
          <w:p>
            <w:pPr>
              <w:pStyle w:val="TableParagraph"/>
              <w:spacing w:before="92"/>
              <w:ind w:right="279"/>
              <w:rPr>
                <w:sz w:val="24"/>
              </w:rPr>
            </w:pPr>
            <w:r>
              <w:rPr>
                <w:sz w:val="24"/>
              </w:rPr>
              <w:t>Publicar dados no Portal de Dados Abertos da UFRPE</w:t>
            </w:r>
          </w:p>
        </w:tc>
        <w:tc>
          <w:tcPr>
            <w:tcW w:w="2803" w:type="dxa"/>
            <w:tcBorders>
              <w:bottom w:val="nil"/>
            </w:tcBorders>
          </w:tcPr>
          <w:p>
            <w:pPr>
              <w:pStyle w:val="TableParagraph"/>
              <w:spacing w:before="92"/>
              <w:ind w:right="194"/>
              <w:rPr>
                <w:sz w:val="24"/>
              </w:rPr>
            </w:pPr>
            <w:r>
              <w:rPr>
                <w:sz w:val="24"/>
              </w:rPr>
              <w:t>Divulgação do portal para a comunidade interna da instituição</w:t>
            </w:r>
          </w:p>
        </w:tc>
        <w:tc>
          <w:tcPr>
            <w:tcW w:w="1133" w:type="dxa"/>
            <w:tcBorders>
              <w:bottom w:val="nil"/>
            </w:tcBorders>
          </w:tcPr>
          <w:p>
            <w:pPr>
              <w:pStyle w:val="TableParagraph"/>
              <w:spacing w:before="92"/>
              <w:ind w:left="70"/>
              <w:rPr>
                <w:sz w:val="24"/>
              </w:rPr>
            </w:pPr>
            <w:r>
              <w:rPr>
                <w:sz w:val="24"/>
              </w:rPr>
              <w:t>abr-18</w:t>
            </w:r>
          </w:p>
        </w:tc>
        <w:tc>
          <w:tcPr>
            <w:tcW w:w="1985" w:type="dxa"/>
            <w:tcBorders>
              <w:bottom w:val="nil"/>
            </w:tcBorders>
          </w:tcPr>
          <w:p>
            <w:pPr>
              <w:pStyle w:val="TableParagraph"/>
              <w:spacing w:before="92"/>
              <w:ind w:left="70"/>
              <w:rPr>
                <w:sz w:val="24"/>
              </w:rPr>
            </w:pPr>
            <w:r>
              <w:rPr>
                <w:sz w:val="24"/>
              </w:rPr>
              <w:t>CTDA/CTI</w:t>
            </w:r>
          </w:p>
        </w:tc>
      </w:tr>
      <w:tr>
        <w:trPr>
          <w:trHeight w:val="828" w:hRule="atLeast"/>
        </w:trPr>
        <w:tc>
          <w:tcPr>
            <w:tcW w:w="578" w:type="dxa"/>
            <w:tcBorders>
              <w:top w:val="nil"/>
              <w:bottom w:val="nil"/>
            </w:tcBorders>
          </w:tcPr>
          <w:p>
            <w:pPr>
              <w:pStyle w:val="TableParagraph"/>
              <w:ind w:left="0"/>
              <w:rPr>
                <w:sz w:val="22"/>
              </w:rPr>
            </w:pPr>
          </w:p>
        </w:tc>
        <w:tc>
          <w:tcPr>
            <w:tcW w:w="2741" w:type="dxa"/>
            <w:tcBorders>
              <w:top w:val="nil"/>
              <w:bottom w:val="nil"/>
            </w:tcBorders>
          </w:tcPr>
          <w:p>
            <w:pPr>
              <w:pStyle w:val="TableParagraph"/>
              <w:ind w:left="0"/>
              <w:rPr>
                <w:sz w:val="22"/>
              </w:rPr>
            </w:pPr>
          </w:p>
        </w:tc>
        <w:tc>
          <w:tcPr>
            <w:tcW w:w="2803" w:type="dxa"/>
            <w:tcBorders>
              <w:top w:val="nil"/>
              <w:bottom w:val="nil"/>
            </w:tcBorders>
          </w:tcPr>
          <w:p>
            <w:pPr>
              <w:pStyle w:val="TableParagraph"/>
              <w:spacing w:before="133"/>
              <w:ind w:right="588"/>
              <w:rPr>
                <w:sz w:val="24"/>
              </w:rPr>
            </w:pPr>
            <w:r>
              <w:rPr>
                <w:sz w:val="24"/>
              </w:rPr>
              <w:t>Publicação nos canais oficiais da instituição</w:t>
            </w:r>
          </w:p>
        </w:tc>
        <w:tc>
          <w:tcPr>
            <w:tcW w:w="1133" w:type="dxa"/>
            <w:tcBorders>
              <w:top w:val="nil"/>
              <w:bottom w:val="nil"/>
            </w:tcBorders>
          </w:tcPr>
          <w:p>
            <w:pPr>
              <w:pStyle w:val="TableParagraph"/>
              <w:ind w:left="0"/>
              <w:rPr>
                <w:sz w:val="22"/>
              </w:rPr>
            </w:pPr>
          </w:p>
        </w:tc>
        <w:tc>
          <w:tcPr>
            <w:tcW w:w="1985" w:type="dxa"/>
            <w:tcBorders>
              <w:top w:val="nil"/>
              <w:bottom w:val="nil"/>
            </w:tcBorders>
          </w:tcPr>
          <w:p>
            <w:pPr>
              <w:pStyle w:val="TableParagraph"/>
              <w:ind w:left="0"/>
              <w:rPr>
                <w:sz w:val="22"/>
              </w:rPr>
            </w:pPr>
          </w:p>
        </w:tc>
      </w:tr>
      <w:tr>
        <w:trPr>
          <w:trHeight w:val="790" w:hRule="atLeast"/>
        </w:trPr>
        <w:tc>
          <w:tcPr>
            <w:tcW w:w="578" w:type="dxa"/>
            <w:tcBorders>
              <w:top w:val="nil"/>
            </w:tcBorders>
          </w:tcPr>
          <w:p>
            <w:pPr>
              <w:pStyle w:val="TableParagraph"/>
              <w:ind w:left="0"/>
              <w:rPr>
                <w:sz w:val="22"/>
              </w:rPr>
            </w:pPr>
          </w:p>
        </w:tc>
        <w:tc>
          <w:tcPr>
            <w:tcW w:w="2741" w:type="dxa"/>
            <w:tcBorders>
              <w:top w:val="nil"/>
            </w:tcBorders>
          </w:tcPr>
          <w:p>
            <w:pPr>
              <w:pStyle w:val="TableParagraph"/>
              <w:ind w:left="0"/>
              <w:rPr>
                <w:sz w:val="22"/>
              </w:rPr>
            </w:pPr>
          </w:p>
        </w:tc>
        <w:tc>
          <w:tcPr>
            <w:tcW w:w="2803" w:type="dxa"/>
            <w:tcBorders>
              <w:top w:val="nil"/>
            </w:tcBorders>
          </w:tcPr>
          <w:p>
            <w:pPr>
              <w:pStyle w:val="TableParagraph"/>
              <w:spacing w:line="237" w:lineRule="auto" w:before="135"/>
              <w:ind w:right="421"/>
              <w:rPr>
                <w:sz w:val="24"/>
              </w:rPr>
            </w:pPr>
            <w:r>
              <w:rPr>
                <w:sz w:val="24"/>
              </w:rPr>
              <w:t>Elaboração de releases para a mídia tradicional</w:t>
            </w:r>
          </w:p>
        </w:tc>
        <w:tc>
          <w:tcPr>
            <w:tcW w:w="1133" w:type="dxa"/>
            <w:tcBorders>
              <w:top w:val="nil"/>
            </w:tcBorders>
          </w:tcPr>
          <w:p>
            <w:pPr>
              <w:pStyle w:val="TableParagraph"/>
              <w:ind w:left="0"/>
              <w:rPr>
                <w:sz w:val="22"/>
              </w:rPr>
            </w:pPr>
          </w:p>
        </w:tc>
        <w:tc>
          <w:tcPr>
            <w:tcW w:w="1985" w:type="dxa"/>
            <w:tcBorders>
              <w:top w:val="nil"/>
            </w:tcBorders>
          </w:tcPr>
          <w:p>
            <w:pPr>
              <w:pStyle w:val="TableParagraph"/>
              <w:ind w:left="0"/>
              <w:rPr>
                <w:sz w:val="22"/>
              </w:rPr>
            </w:pPr>
          </w:p>
        </w:tc>
      </w:tr>
      <w:tr>
        <w:trPr>
          <w:trHeight w:val="373" w:hRule="atLeast"/>
        </w:trPr>
        <w:tc>
          <w:tcPr>
            <w:tcW w:w="578" w:type="dxa"/>
            <w:tcBorders>
              <w:bottom w:val="nil"/>
            </w:tcBorders>
          </w:tcPr>
          <w:p>
            <w:pPr>
              <w:pStyle w:val="TableParagraph"/>
              <w:spacing w:line="261" w:lineRule="exact" w:before="92"/>
              <w:rPr>
                <w:sz w:val="24"/>
              </w:rPr>
            </w:pPr>
            <w:r>
              <w:rPr>
                <w:sz w:val="24"/>
              </w:rPr>
              <w:t>9</w:t>
            </w:r>
          </w:p>
        </w:tc>
        <w:tc>
          <w:tcPr>
            <w:tcW w:w="2741" w:type="dxa"/>
            <w:tcBorders>
              <w:bottom w:val="nil"/>
            </w:tcBorders>
          </w:tcPr>
          <w:p>
            <w:pPr>
              <w:pStyle w:val="TableParagraph"/>
              <w:spacing w:line="261" w:lineRule="exact" w:before="92"/>
              <w:rPr>
                <w:sz w:val="24"/>
              </w:rPr>
            </w:pPr>
            <w:r>
              <w:rPr>
                <w:sz w:val="24"/>
              </w:rPr>
              <w:t>Catalogar dados da</w:t>
            </w:r>
          </w:p>
        </w:tc>
        <w:tc>
          <w:tcPr>
            <w:tcW w:w="2803" w:type="dxa"/>
            <w:tcBorders>
              <w:bottom w:val="nil"/>
            </w:tcBorders>
          </w:tcPr>
          <w:p>
            <w:pPr>
              <w:pStyle w:val="TableParagraph"/>
              <w:spacing w:line="261" w:lineRule="exact" w:before="92"/>
              <w:rPr>
                <w:sz w:val="24"/>
              </w:rPr>
            </w:pPr>
            <w:r>
              <w:rPr>
                <w:sz w:val="24"/>
              </w:rPr>
              <w:t>Catalogar conjuntos de</w:t>
            </w:r>
          </w:p>
        </w:tc>
        <w:tc>
          <w:tcPr>
            <w:tcW w:w="1133" w:type="dxa"/>
            <w:tcBorders>
              <w:bottom w:val="nil"/>
            </w:tcBorders>
          </w:tcPr>
          <w:p>
            <w:pPr>
              <w:pStyle w:val="TableParagraph"/>
              <w:spacing w:line="261" w:lineRule="exact" w:before="92"/>
              <w:ind w:left="70"/>
              <w:rPr>
                <w:sz w:val="24"/>
              </w:rPr>
            </w:pPr>
            <w:r>
              <w:rPr>
                <w:sz w:val="24"/>
              </w:rPr>
              <w:t>abr-18</w:t>
            </w:r>
          </w:p>
        </w:tc>
        <w:tc>
          <w:tcPr>
            <w:tcW w:w="1985" w:type="dxa"/>
            <w:tcBorders>
              <w:bottom w:val="nil"/>
            </w:tcBorders>
          </w:tcPr>
          <w:p>
            <w:pPr>
              <w:pStyle w:val="TableParagraph"/>
              <w:spacing w:line="261" w:lineRule="exact" w:before="92"/>
              <w:ind w:left="70"/>
              <w:rPr>
                <w:sz w:val="24"/>
              </w:rPr>
            </w:pPr>
            <w:r>
              <w:rPr>
                <w:sz w:val="24"/>
              </w:rPr>
              <w:t>CTDA/CTI</w:t>
            </w:r>
          </w:p>
        </w:tc>
      </w:tr>
      <w:tr>
        <w:trPr>
          <w:trHeight w:val="276"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spacing w:line="256" w:lineRule="exact"/>
              <w:rPr>
                <w:sz w:val="24"/>
              </w:rPr>
            </w:pPr>
            <w:r>
              <w:rPr>
                <w:sz w:val="24"/>
              </w:rPr>
              <w:t>UFRPE no Portal</w:t>
            </w:r>
          </w:p>
        </w:tc>
        <w:tc>
          <w:tcPr>
            <w:tcW w:w="2803" w:type="dxa"/>
            <w:tcBorders>
              <w:top w:val="nil"/>
              <w:bottom w:val="nil"/>
            </w:tcBorders>
          </w:tcPr>
          <w:p>
            <w:pPr>
              <w:pStyle w:val="TableParagraph"/>
              <w:spacing w:line="256" w:lineRule="exact"/>
              <w:rPr>
                <w:sz w:val="24"/>
              </w:rPr>
            </w:pPr>
            <w:r>
              <w:rPr>
                <w:sz w:val="24"/>
              </w:rPr>
              <w:t>dados abertos da UFRPE</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275"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spacing w:line="256" w:lineRule="exact"/>
              <w:rPr>
                <w:sz w:val="24"/>
              </w:rPr>
            </w:pPr>
            <w:r>
              <w:rPr>
                <w:sz w:val="24"/>
              </w:rPr>
              <w:t>Brasileiro de Dados</w:t>
            </w:r>
          </w:p>
        </w:tc>
        <w:tc>
          <w:tcPr>
            <w:tcW w:w="2803" w:type="dxa"/>
            <w:tcBorders>
              <w:top w:val="nil"/>
              <w:bottom w:val="nil"/>
            </w:tcBorders>
          </w:tcPr>
          <w:p>
            <w:pPr>
              <w:pStyle w:val="TableParagraph"/>
              <w:spacing w:line="256" w:lineRule="exact"/>
              <w:rPr>
                <w:sz w:val="24"/>
              </w:rPr>
            </w:pPr>
            <w:r>
              <w:rPr>
                <w:sz w:val="24"/>
              </w:rPr>
              <w:t>no Portal Brasileiro de</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276"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spacing w:line="256" w:lineRule="exact"/>
              <w:rPr>
                <w:sz w:val="24"/>
              </w:rPr>
            </w:pPr>
            <w:r>
              <w:rPr>
                <w:sz w:val="24"/>
              </w:rPr>
              <w:t>Abertos</w:t>
            </w:r>
          </w:p>
        </w:tc>
        <w:tc>
          <w:tcPr>
            <w:tcW w:w="2803" w:type="dxa"/>
            <w:tcBorders>
              <w:top w:val="nil"/>
              <w:bottom w:val="nil"/>
            </w:tcBorders>
          </w:tcPr>
          <w:p>
            <w:pPr>
              <w:pStyle w:val="TableParagraph"/>
              <w:spacing w:line="256" w:lineRule="exact"/>
              <w:rPr>
                <w:sz w:val="24"/>
              </w:rPr>
            </w:pPr>
            <w:r>
              <w:rPr>
                <w:sz w:val="24"/>
              </w:rPr>
              <w:t>Dados Abertos e demais</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379" w:hRule="atLeast"/>
        </w:trPr>
        <w:tc>
          <w:tcPr>
            <w:tcW w:w="578" w:type="dxa"/>
            <w:tcBorders>
              <w:top w:val="nil"/>
            </w:tcBorders>
          </w:tcPr>
          <w:p>
            <w:pPr>
              <w:pStyle w:val="TableParagraph"/>
              <w:ind w:left="0"/>
              <w:rPr>
                <w:sz w:val="22"/>
              </w:rPr>
            </w:pPr>
          </w:p>
        </w:tc>
        <w:tc>
          <w:tcPr>
            <w:tcW w:w="2741" w:type="dxa"/>
            <w:tcBorders>
              <w:top w:val="nil"/>
            </w:tcBorders>
          </w:tcPr>
          <w:p>
            <w:pPr>
              <w:pStyle w:val="TableParagraph"/>
              <w:ind w:left="0"/>
              <w:rPr>
                <w:sz w:val="22"/>
              </w:rPr>
            </w:pPr>
          </w:p>
        </w:tc>
        <w:tc>
          <w:tcPr>
            <w:tcW w:w="2803" w:type="dxa"/>
            <w:tcBorders>
              <w:top w:val="nil"/>
            </w:tcBorders>
          </w:tcPr>
          <w:p>
            <w:pPr>
              <w:pStyle w:val="TableParagraph"/>
              <w:spacing w:line="271" w:lineRule="exact"/>
              <w:rPr>
                <w:sz w:val="24"/>
              </w:rPr>
            </w:pPr>
            <w:r>
              <w:rPr>
                <w:sz w:val="24"/>
              </w:rPr>
              <w:t>canais</w:t>
            </w:r>
          </w:p>
        </w:tc>
        <w:tc>
          <w:tcPr>
            <w:tcW w:w="1133" w:type="dxa"/>
            <w:tcBorders>
              <w:top w:val="nil"/>
            </w:tcBorders>
          </w:tcPr>
          <w:p>
            <w:pPr>
              <w:pStyle w:val="TableParagraph"/>
              <w:ind w:left="0"/>
              <w:rPr>
                <w:sz w:val="22"/>
              </w:rPr>
            </w:pPr>
          </w:p>
        </w:tc>
        <w:tc>
          <w:tcPr>
            <w:tcW w:w="1985" w:type="dxa"/>
            <w:tcBorders>
              <w:top w:val="nil"/>
            </w:tcBorders>
          </w:tcPr>
          <w:p>
            <w:pPr>
              <w:pStyle w:val="TableParagraph"/>
              <w:ind w:left="0"/>
              <w:rPr>
                <w:sz w:val="22"/>
              </w:rPr>
            </w:pPr>
          </w:p>
        </w:tc>
      </w:tr>
      <w:tr>
        <w:trPr>
          <w:trHeight w:val="373" w:hRule="atLeast"/>
        </w:trPr>
        <w:tc>
          <w:tcPr>
            <w:tcW w:w="578" w:type="dxa"/>
            <w:tcBorders>
              <w:bottom w:val="nil"/>
            </w:tcBorders>
          </w:tcPr>
          <w:p>
            <w:pPr>
              <w:pStyle w:val="TableParagraph"/>
              <w:spacing w:line="261" w:lineRule="exact" w:before="92"/>
              <w:rPr>
                <w:sz w:val="24"/>
              </w:rPr>
            </w:pPr>
            <w:r>
              <w:rPr>
                <w:sz w:val="24"/>
              </w:rPr>
              <w:t>10</w:t>
            </w:r>
          </w:p>
        </w:tc>
        <w:tc>
          <w:tcPr>
            <w:tcW w:w="2741" w:type="dxa"/>
            <w:tcBorders>
              <w:bottom w:val="nil"/>
            </w:tcBorders>
          </w:tcPr>
          <w:p>
            <w:pPr>
              <w:pStyle w:val="TableParagraph"/>
              <w:spacing w:line="261" w:lineRule="exact" w:before="92"/>
              <w:rPr>
                <w:sz w:val="24"/>
              </w:rPr>
            </w:pPr>
            <w:r>
              <w:rPr>
                <w:sz w:val="24"/>
              </w:rPr>
              <w:t>Realizarconcurso de</w:t>
            </w:r>
          </w:p>
        </w:tc>
        <w:tc>
          <w:tcPr>
            <w:tcW w:w="2803" w:type="dxa"/>
            <w:tcBorders>
              <w:bottom w:val="nil"/>
            </w:tcBorders>
          </w:tcPr>
          <w:p>
            <w:pPr>
              <w:pStyle w:val="TableParagraph"/>
              <w:spacing w:line="261" w:lineRule="exact" w:before="92"/>
              <w:rPr>
                <w:i/>
                <w:sz w:val="24"/>
              </w:rPr>
            </w:pPr>
            <w:r>
              <w:rPr>
                <w:sz w:val="24"/>
              </w:rPr>
              <w:t>Promover maratona </w:t>
            </w:r>
            <w:r>
              <w:rPr>
                <w:i/>
                <w:sz w:val="24"/>
              </w:rPr>
              <w:t>hacker</w:t>
            </w:r>
          </w:p>
        </w:tc>
        <w:tc>
          <w:tcPr>
            <w:tcW w:w="1133" w:type="dxa"/>
            <w:tcBorders>
              <w:bottom w:val="nil"/>
            </w:tcBorders>
          </w:tcPr>
          <w:p>
            <w:pPr>
              <w:pStyle w:val="TableParagraph"/>
              <w:spacing w:line="261" w:lineRule="exact" w:before="92"/>
              <w:ind w:left="70"/>
              <w:rPr>
                <w:sz w:val="24"/>
              </w:rPr>
            </w:pPr>
            <w:r>
              <w:rPr>
                <w:sz w:val="24"/>
              </w:rPr>
              <w:t>ago-18</w:t>
            </w:r>
          </w:p>
        </w:tc>
        <w:tc>
          <w:tcPr>
            <w:tcW w:w="1985" w:type="dxa"/>
            <w:tcBorders>
              <w:bottom w:val="nil"/>
            </w:tcBorders>
          </w:tcPr>
          <w:p>
            <w:pPr>
              <w:pStyle w:val="TableParagraph"/>
              <w:spacing w:line="261" w:lineRule="exact" w:before="92"/>
              <w:ind w:left="70"/>
              <w:rPr>
                <w:sz w:val="24"/>
              </w:rPr>
            </w:pPr>
            <w:r>
              <w:rPr>
                <w:sz w:val="24"/>
              </w:rPr>
              <w:t>CTDA/CTI</w:t>
            </w:r>
          </w:p>
        </w:tc>
      </w:tr>
      <w:tr>
        <w:trPr>
          <w:trHeight w:val="276"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spacing w:line="256" w:lineRule="exact"/>
              <w:rPr>
                <w:sz w:val="24"/>
              </w:rPr>
            </w:pPr>
            <w:r>
              <w:rPr>
                <w:sz w:val="24"/>
              </w:rPr>
              <w:t>aplicativos</w:t>
            </w:r>
          </w:p>
        </w:tc>
        <w:tc>
          <w:tcPr>
            <w:tcW w:w="2803" w:type="dxa"/>
            <w:tcBorders>
              <w:top w:val="nil"/>
              <w:bottom w:val="nil"/>
            </w:tcBorders>
          </w:tcPr>
          <w:p>
            <w:pPr>
              <w:pStyle w:val="TableParagraph"/>
              <w:spacing w:line="256" w:lineRule="exact"/>
              <w:rPr>
                <w:sz w:val="24"/>
              </w:rPr>
            </w:pPr>
            <w:r>
              <w:rPr>
                <w:sz w:val="24"/>
              </w:rPr>
              <w:t>para utilização dos dados</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276" w:hRule="atLeast"/>
        </w:trPr>
        <w:tc>
          <w:tcPr>
            <w:tcW w:w="578" w:type="dxa"/>
            <w:tcBorders>
              <w:top w:val="nil"/>
              <w:bottom w:val="nil"/>
            </w:tcBorders>
          </w:tcPr>
          <w:p>
            <w:pPr>
              <w:pStyle w:val="TableParagraph"/>
              <w:ind w:left="0"/>
              <w:rPr>
                <w:sz w:val="20"/>
              </w:rPr>
            </w:pPr>
          </w:p>
        </w:tc>
        <w:tc>
          <w:tcPr>
            <w:tcW w:w="2741" w:type="dxa"/>
            <w:tcBorders>
              <w:top w:val="nil"/>
              <w:bottom w:val="nil"/>
            </w:tcBorders>
          </w:tcPr>
          <w:p>
            <w:pPr>
              <w:pStyle w:val="TableParagraph"/>
              <w:ind w:left="0"/>
              <w:rPr>
                <w:sz w:val="20"/>
              </w:rPr>
            </w:pPr>
          </w:p>
        </w:tc>
        <w:tc>
          <w:tcPr>
            <w:tcW w:w="2803" w:type="dxa"/>
            <w:tcBorders>
              <w:top w:val="nil"/>
              <w:bottom w:val="nil"/>
            </w:tcBorders>
          </w:tcPr>
          <w:p>
            <w:pPr>
              <w:pStyle w:val="TableParagraph"/>
              <w:spacing w:line="256" w:lineRule="exact"/>
              <w:rPr>
                <w:sz w:val="24"/>
              </w:rPr>
            </w:pPr>
            <w:r>
              <w:rPr>
                <w:sz w:val="24"/>
              </w:rPr>
              <w:t>abertos, publicados pela</w:t>
            </w:r>
          </w:p>
        </w:tc>
        <w:tc>
          <w:tcPr>
            <w:tcW w:w="1133" w:type="dxa"/>
            <w:tcBorders>
              <w:top w:val="nil"/>
              <w:bottom w:val="nil"/>
            </w:tcBorders>
          </w:tcPr>
          <w:p>
            <w:pPr>
              <w:pStyle w:val="TableParagraph"/>
              <w:ind w:left="0"/>
              <w:rPr>
                <w:sz w:val="20"/>
              </w:rPr>
            </w:pPr>
          </w:p>
        </w:tc>
        <w:tc>
          <w:tcPr>
            <w:tcW w:w="1985" w:type="dxa"/>
            <w:tcBorders>
              <w:top w:val="nil"/>
              <w:bottom w:val="nil"/>
            </w:tcBorders>
          </w:tcPr>
          <w:p>
            <w:pPr>
              <w:pStyle w:val="TableParagraph"/>
              <w:ind w:left="0"/>
              <w:rPr>
                <w:sz w:val="20"/>
              </w:rPr>
            </w:pPr>
          </w:p>
        </w:tc>
      </w:tr>
      <w:tr>
        <w:trPr>
          <w:trHeight w:val="652" w:hRule="atLeast"/>
        </w:trPr>
        <w:tc>
          <w:tcPr>
            <w:tcW w:w="578" w:type="dxa"/>
            <w:tcBorders>
              <w:top w:val="nil"/>
            </w:tcBorders>
          </w:tcPr>
          <w:p>
            <w:pPr>
              <w:pStyle w:val="TableParagraph"/>
              <w:ind w:left="0"/>
              <w:rPr>
                <w:sz w:val="22"/>
              </w:rPr>
            </w:pPr>
          </w:p>
        </w:tc>
        <w:tc>
          <w:tcPr>
            <w:tcW w:w="2741" w:type="dxa"/>
            <w:tcBorders>
              <w:top w:val="nil"/>
            </w:tcBorders>
          </w:tcPr>
          <w:p>
            <w:pPr>
              <w:pStyle w:val="TableParagraph"/>
              <w:ind w:left="0"/>
              <w:rPr>
                <w:sz w:val="22"/>
              </w:rPr>
            </w:pPr>
          </w:p>
        </w:tc>
        <w:tc>
          <w:tcPr>
            <w:tcW w:w="2803" w:type="dxa"/>
            <w:tcBorders>
              <w:top w:val="nil"/>
            </w:tcBorders>
          </w:tcPr>
          <w:p>
            <w:pPr>
              <w:pStyle w:val="TableParagraph"/>
              <w:spacing w:line="271" w:lineRule="exact"/>
              <w:rPr>
                <w:sz w:val="24"/>
              </w:rPr>
            </w:pPr>
            <w:r>
              <w:rPr>
                <w:sz w:val="24"/>
              </w:rPr>
              <w:t>UFRPE</w:t>
            </w:r>
          </w:p>
        </w:tc>
        <w:tc>
          <w:tcPr>
            <w:tcW w:w="1133" w:type="dxa"/>
            <w:tcBorders>
              <w:top w:val="nil"/>
            </w:tcBorders>
          </w:tcPr>
          <w:p>
            <w:pPr>
              <w:pStyle w:val="TableParagraph"/>
              <w:ind w:left="0"/>
              <w:rPr>
                <w:sz w:val="22"/>
              </w:rPr>
            </w:pPr>
          </w:p>
        </w:tc>
        <w:tc>
          <w:tcPr>
            <w:tcW w:w="1985" w:type="dxa"/>
            <w:tcBorders>
              <w:top w:val="nil"/>
            </w:tcBorders>
          </w:tcPr>
          <w:p>
            <w:pPr>
              <w:pStyle w:val="TableParagraph"/>
              <w:ind w:left="0"/>
              <w:rPr>
                <w:sz w:val="22"/>
              </w:rPr>
            </w:pPr>
          </w:p>
        </w:tc>
      </w:tr>
      <w:tr>
        <w:trPr>
          <w:trHeight w:val="1028" w:hRule="atLeast"/>
        </w:trPr>
        <w:tc>
          <w:tcPr>
            <w:tcW w:w="578" w:type="dxa"/>
          </w:tcPr>
          <w:p>
            <w:pPr>
              <w:pStyle w:val="TableParagraph"/>
              <w:spacing w:before="92"/>
              <w:rPr>
                <w:sz w:val="24"/>
              </w:rPr>
            </w:pPr>
            <w:r>
              <w:rPr>
                <w:sz w:val="24"/>
              </w:rPr>
              <w:t>11</w:t>
            </w:r>
          </w:p>
        </w:tc>
        <w:tc>
          <w:tcPr>
            <w:tcW w:w="2741" w:type="dxa"/>
          </w:tcPr>
          <w:p>
            <w:pPr>
              <w:pStyle w:val="TableParagraph"/>
              <w:spacing w:before="92"/>
              <w:rPr>
                <w:sz w:val="24"/>
              </w:rPr>
            </w:pPr>
            <w:r>
              <w:rPr>
                <w:sz w:val="24"/>
              </w:rPr>
              <w:t>Atualizar o PDA</w:t>
            </w:r>
          </w:p>
        </w:tc>
        <w:tc>
          <w:tcPr>
            <w:tcW w:w="2803" w:type="dxa"/>
          </w:tcPr>
          <w:p>
            <w:pPr>
              <w:pStyle w:val="TableParagraph"/>
              <w:spacing w:before="92"/>
              <w:ind w:right="607"/>
              <w:rPr>
                <w:sz w:val="24"/>
              </w:rPr>
            </w:pPr>
            <w:r>
              <w:rPr>
                <w:sz w:val="24"/>
              </w:rPr>
              <w:t>Realizar atualização periódica do Plano de Dados Aberto</w:t>
            </w:r>
          </w:p>
        </w:tc>
        <w:tc>
          <w:tcPr>
            <w:tcW w:w="1133" w:type="dxa"/>
          </w:tcPr>
          <w:p>
            <w:pPr>
              <w:pStyle w:val="TableParagraph"/>
              <w:spacing w:before="92"/>
              <w:ind w:left="70"/>
              <w:rPr>
                <w:sz w:val="24"/>
              </w:rPr>
            </w:pPr>
            <w:r>
              <w:rPr>
                <w:sz w:val="24"/>
              </w:rPr>
              <w:t>set-18</w:t>
            </w:r>
          </w:p>
        </w:tc>
        <w:tc>
          <w:tcPr>
            <w:tcW w:w="1985" w:type="dxa"/>
          </w:tcPr>
          <w:p>
            <w:pPr>
              <w:pStyle w:val="TableParagraph"/>
              <w:spacing w:before="92"/>
              <w:ind w:left="70"/>
              <w:rPr>
                <w:sz w:val="24"/>
              </w:rPr>
            </w:pPr>
            <w:r>
              <w:rPr>
                <w:sz w:val="24"/>
              </w:rPr>
              <w:t>CTDA/CTI</w:t>
            </w:r>
          </w:p>
        </w:tc>
      </w:tr>
      <w:tr>
        <w:trPr>
          <w:trHeight w:val="752" w:hRule="atLeast"/>
        </w:trPr>
        <w:tc>
          <w:tcPr>
            <w:tcW w:w="578" w:type="dxa"/>
          </w:tcPr>
          <w:p>
            <w:pPr>
              <w:pStyle w:val="TableParagraph"/>
              <w:spacing w:before="92"/>
              <w:rPr>
                <w:sz w:val="24"/>
              </w:rPr>
            </w:pPr>
            <w:r>
              <w:rPr>
                <w:sz w:val="24"/>
              </w:rPr>
              <w:t>12</w:t>
            </w:r>
          </w:p>
        </w:tc>
        <w:tc>
          <w:tcPr>
            <w:tcW w:w="2741" w:type="dxa"/>
          </w:tcPr>
          <w:p>
            <w:pPr>
              <w:pStyle w:val="TableParagraph"/>
              <w:spacing w:before="92"/>
              <w:ind w:right="292"/>
              <w:rPr>
                <w:sz w:val="24"/>
              </w:rPr>
            </w:pPr>
            <w:r>
              <w:rPr>
                <w:sz w:val="24"/>
              </w:rPr>
              <w:t>Elaborar nova versão do PDA</w:t>
            </w:r>
          </w:p>
        </w:tc>
        <w:tc>
          <w:tcPr>
            <w:tcW w:w="2803" w:type="dxa"/>
          </w:tcPr>
          <w:p>
            <w:pPr>
              <w:pStyle w:val="TableParagraph"/>
              <w:ind w:left="0"/>
              <w:rPr>
                <w:sz w:val="22"/>
              </w:rPr>
            </w:pPr>
          </w:p>
        </w:tc>
        <w:tc>
          <w:tcPr>
            <w:tcW w:w="1133" w:type="dxa"/>
          </w:tcPr>
          <w:p>
            <w:pPr>
              <w:pStyle w:val="TableParagraph"/>
              <w:ind w:left="0"/>
              <w:rPr>
                <w:sz w:val="22"/>
              </w:rPr>
            </w:pPr>
          </w:p>
        </w:tc>
        <w:tc>
          <w:tcPr>
            <w:tcW w:w="1985" w:type="dxa"/>
          </w:tcPr>
          <w:p>
            <w:pPr>
              <w:pStyle w:val="TableParagraph"/>
              <w:spacing w:before="92"/>
              <w:ind w:left="70"/>
              <w:rPr>
                <w:sz w:val="24"/>
              </w:rPr>
            </w:pPr>
            <w:r>
              <w:rPr>
                <w:sz w:val="24"/>
              </w:rPr>
              <w:t>CTDA/CTI</w:t>
            </w:r>
          </w:p>
        </w:tc>
      </w:tr>
    </w:tbl>
    <w:p>
      <w:pPr>
        <w:spacing w:after="0"/>
        <w:rPr>
          <w:sz w:val="24"/>
        </w:rPr>
        <w:sectPr>
          <w:pgSz w:w="11910" w:h="16840"/>
          <w:pgMar w:header="763" w:footer="488" w:top="1640" w:bottom="680" w:left="860" w:right="480"/>
        </w:sectPr>
      </w:pPr>
    </w:p>
    <w:p>
      <w:pPr>
        <w:pStyle w:val="BodyText"/>
        <w:spacing w:before="4"/>
        <w:rPr>
          <w:sz w:val="28"/>
        </w:rPr>
      </w:pPr>
    </w:p>
    <w:p>
      <w:pPr>
        <w:pStyle w:val="Heading1"/>
        <w:spacing w:before="90"/>
      </w:pPr>
      <w:bookmarkStart w:name="_TOC_250001" w:id="8"/>
      <w:bookmarkEnd w:id="8"/>
      <w:r>
        <w:rPr/>
        <w:t>Referências</w:t>
      </w:r>
    </w:p>
    <w:p>
      <w:pPr>
        <w:pStyle w:val="BodyText"/>
        <w:rPr>
          <w:b/>
          <w:sz w:val="26"/>
        </w:rPr>
      </w:pPr>
    </w:p>
    <w:p>
      <w:pPr>
        <w:spacing w:line="276" w:lineRule="auto" w:before="174"/>
        <w:ind w:left="580" w:right="2318" w:firstLine="0"/>
        <w:jc w:val="left"/>
        <w:rPr>
          <w:sz w:val="24"/>
        </w:rPr>
      </w:pPr>
      <w:r>
        <w:rPr>
          <w:sz w:val="24"/>
        </w:rPr>
        <w:t>MAN. </w:t>
      </w:r>
      <w:r>
        <w:rPr>
          <w:b/>
          <w:sz w:val="24"/>
        </w:rPr>
        <w:t>Manual para Elaboração de Plano de Dados Abertos. </w:t>
      </w:r>
      <w:r>
        <w:rPr>
          <w:sz w:val="24"/>
        </w:rPr>
        <w:t>Disponível em: </w:t>
      </w:r>
      <w:hyperlink r:id="rId8">
        <w:r>
          <w:rPr>
            <w:sz w:val="24"/>
            <w:u w:val="single"/>
          </w:rPr>
          <w:t>http://www.planejamento.gov.br/secretarias/upload/arquivo/governo-</w:t>
        </w:r>
      </w:hyperlink>
      <w:r>
        <w:rPr>
          <w:sz w:val="24"/>
        </w:rPr>
        <w:t> </w:t>
      </w:r>
      <w:hyperlink r:id="rId8">
        <w:r>
          <w:rPr>
            <w:sz w:val="24"/>
            <w:u w:val="single"/>
          </w:rPr>
          <w:t>aberto/copy_of_manual_elaboracao_plano_dados_abertos.pdf</w:t>
        </w:r>
      </w:hyperlink>
    </w:p>
    <w:p>
      <w:pPr>
        <w:pStyle w:val="BodyText"/>
        <w:spacing w:before="9"/>
        <w:rPr>
          <w:sz w:val="19"/>
        </w:rPr>
      </w:pPr>
    </w:p>
    <w:p>
      <w:pPr>
        <w:spacing w:line="276" w:lineRule="auto" w:before="90"/>
        <w:ind w:left="580" w:right="1190" w:firstLine="0"/>
        <w:jc w:val="left"/>
        <w:rPr>
          <w:sz w:val="24"/>
        </w:rPr>
      </w:pPr>
      <w:r>
        <w:rPr>
          <w:sz w:val="24"/>
        </w:rPr>
        <w:t>CART. </w:t>
      </w:r>
      <w:r>
        <w:rPr>
          <w:b/>
          <w:sz w:val="24"/>
        </w:rPr>
        <w:t>Cartilha Técnica para Publicação de Dados Abertos no Brasil v1.0., </w:t>
      </w:r>
      <w:r>
        <w:rPr>
          <w:sz w:val="24"/>
        </w:rPr>
        <w:t>Disponível em: </w:t>
      </w:r>
      <w:hyperlink r:id="rId9">
        <w:r>
          <w:rPr>
            <w:sz w:val="24"/>
            <w:u w:val="single"/>
          </w:rPr>
          <w:t>http://dados.gov.br/cartilha-publicacao-dados-abertos/</w:t>
        </w:r>
      </w:hyperlink>
    </w:p>
    <w:p>
      <w:pPr>
        <w:pStyle w:val="BodyText"/>
        <w:spacing w:before="10"/>
        <w:rPr>
          <w:sz w:val="19"/>
        </w:rPr>
      </w:pPr>
    </w:p>
    <w:p>
      <w:pPr>
        <w:spacing w:before="90"/>
        <w:ind w:left="580" w:right="0" w:firstLine="0"/>
        <w:jc w:val="left"/>
        <w:rPr>
          <w:sz w:val="24"/>
        </w:rPr>
      </w:pPr>
      <w:r>
        <w:rPr>
          <w:sz w:val="24"/>
        </w:rPr>
        <w:t>DEC7724. </w:t>
      </w:r>
      <w:r>
        <w:rPr>
          <w:b/>
          <w:sz w:val="24"/>
        </w:rPr>
        <w:t>DECRETO Nº 7.724, DE 16 DE MAIO DE 2012</w:t>
      </w:r>
      <w:r>
        <w:rPr>
          <w:sz w:val="24"/>
        </w:rPr>
        <w:t>. Disponível em:</w:t>
      </w:r>
    </w:p>
    <w:p>
      <w:pPr>
        <w:pStyle w:val="BodyText"/>
        <w:spacing w:before="41"/>
        <w:ind w:left="580"/>
      </w:pPr>
      <w:hyperlink r:id="rId10">
        <w:r>
          <w:rPr>
            <w:u w:val="single"/>
          </w:rPr>
          <w:t>http://www.planalto.gov.br/ccivil_03/_Ato2011-2014/2012/Decreto/D7724.htm</w:t>
        </w:r>
      </w:hyperlink>
    </w:p>
    <w:p>
      <w:pPr>
        <w:pStyle w:val="BodyText"/>
        <w:spacing w:before="3"/>
        <w:rPr>
          <w:sz w:val="23"/>
        </w:rPr>
      </w:pPr>
    </w:p>
    <w:p>
      <w:pPr>
        <w:spacing w:before="90"/>
        <w:ind w:left="580" w:right="0" w:firstLine="0"/>
        <w:jc w:val="left"/>
        <w:rPr>
          <w:sz w:val="24"/>
        </w:rPr>
      </w:pPr>
      <w:r>
        <w:rPr>
          <w:sz w:val="24"/>
        </w:rPr>
        <w:t>LEI12527. </w:t>
      </w:r>
      <w:r>
        <w:rPr>
          <w:b/>
          <w:sz w:val="24"/>
        </w:rPr>
        <w:t>LEI Nº 12.527, DE 18 DE NOVEMBRO DE 2011</w:t>
      </w:r>
      <w:r>
        <w:rPr>
          <w:sz w:val="24"/>
        </w:rPr>
        <w:t>. Disponível</w:t>
      </w:r>
      <w:r>
        <w:rPr>
          <w:spacing w:val="-5"/>
          <w:sz w:val="24"/>
        </w:rPr>
        <w:t> </w:t>
      </w:r>
      <w:r>
        <w:rPr>
          <w:sz w:val="24"/>
        </w:rPr>
        <w:t>em:</w:t>
      </w:r>
    </w:p>
    <w:p>
      <w:pPr>
        <w:pStyle w:val="BodyText"/>
        <w:spacing w:before="43"/>
        <w:ind w:left="580"/>
      </w:pPr>
      <w:hyperlink r:id="rId11">
        <w:r>
          <w:rPr>
            <w:u w:val="single"/>
          </w:rPr>
          <w:t>http://www.planalto.gov.br/ccivil_03/_Ato2011-2014/2011/Lei/L12527.htm</w:t>
        </w:r>
      </w:hyperlink>
    </w:p>
    <w:p>
      <w:pPr>
        <w:pStyle w:val="BodyText"/>
        <w:spacing w:before="3"/>
        <w:rPr>
          <w:sz w:val="23"/>
        </w:rPr>
      </w:pPr>
    </w:p>
    <w:p>
      <w:pPr>
        <w:spacing w:line="276" w:lineRule="auto" w:before="90"/>
        <w:ind w:left="580" w:right="2678" w:firstLine="0"/>
        <w:jc w:val="left"/>
        <w:rPr>
          <w:sz w:val="24"/>
        </w:rPr>
      </w:pPr>
      <w:r>
        <w:rPr>
          <w:sz w:val="24"/>
        </w:rPr>
        <w:t>PDAINEP. </w:t>
      </w:r>
      <w:r>
        <w:rPr>
          <w:b/>
          <w:sz w:val="24"/>
        </w:rPr>
        <w:t>Plano de Dados Abertos do Inep. </w:t>
      </w:r>
      <w:r>
        <w:rPr>
          <w:sz w:val="24"/>
        </w:rPr>
        <w:t>Disponível em: </w:t>
      </w:r>
      <w:hyperlink r:id="rId12">
        <w:r>
          <w:rPr>
            <w:sz w:val="24"/>
            <w:u w:val="single"/>
          </w:rPr>
          <w:t>http://download.inep.gov.br/institucional/legislacao/2016/portaria_n370.pdf</w:t>
        </w:r>
      </w:hyperlink>
    </w:p>
    <w:p>
      <w:pPr>
        <w:pStyle w:val="BodyText"/>
        <w:spacing w:before="10"/>
        <w:rPr>
          <w:sz w:val="19"/>
        </w:rPr>
      </w:pPr>
    </w:p>
    <w:p>
      <w:pPr>
        <w:spacing w:line="276" w:lineRule="auto" w:before="90"/>
        <w:ind w:left="580" w:right="964" w:firstLine="0"/>
        <w:jc w:val="left"/>
        <w:rPr>
          <w:sz w:val="24"/>
        </w:rPr>
      </w:pPr>
      <w:r>
        <w:rPr>
          <w:sz w:val="24"/>
        </w:rPr>
        <w:t>PDAUFRN. </w:t>
      </w:r>
      <w:r>
        <w:rPr>
          <w:b/>
          <w:sz w:val="24"/>
        </w:rPr>
        <w:t>Plano de dados abertos da UFRN (2016-2018)</w:t>
      </w:r>
      <w:r>
        <w:rPr>
          <w:sz w:val="24"/>
        </w:rPr>
        <w:t>. Disponível em: </w:t>
      </w:r>
      <w:hyperlink r:id="rId13">
        <w:r>
          <w:rPr>
            <w:sz w:val="24"/>
            <w:u w:val="single"/>
          </w:rPr>
          <w:t>http://arquivos.info.ufrn.br/arquivos/2016159058e5083573876aedd4458839c/Plano_PDA_7o</w:t>
        </w:r>
      </w:hyperlink>
      <w:r>
        <w:rPr>
          <w:sz w:val="24"/>
        </w:rPr>
        <w:t> </w:t>
      </w:r>
      <w:hyperlink r:id="rId13">
        <w:r>
          <w:rPr>
            <w:sz w:val="24"/>
            <w:u w:val="single"/>
          </w:rPr>
          <w:t>ut2016.pdf</w:t>
        </w:r>
      </w:hyperlink>
    </w:p>
    <w:p>
      <w:pPr>
        <w:pStyle w:val="BodyText"/>
        <w:spacing w:before="9"/>
        <w:rPr>
          <w:sz w:val="19"/>
        </w:rPr>
      </w:pPr>
    </w:p>
    <w:p>
      <w:pPr>
        <w:spacing w:line="276" w:lineRule="auto" w:before="90"/>
        <w:ind w:left="580" w:right="1550" w:firstLine="0"/>
        <w:jc w:val="left"/>
        <w:rPr>
          <w:sz w:val="24"/>
        </w:rPr>
      </w:pPr>
      <w:r>
        <w:rPr>
          <w:sz w:val="24"/>
        </w:rPr>
        <w:t>PDI. </w:t>
      </w:r>
      <w:r>
        <w:rPr>
          <w:b/>
          <w:sz w:val="24"/>
        </w:rPr>
        <w:t>Plano de Desenvolvimento Institucional - UFRPE 2013-2020. </w:t>
      </w:r>
      <w:r>
        <w:rPr>
          <w:sz w:val="24"/>
        </w:rPr>
        <w:t>Disponível em: </w:t>
      </w:r>
      <w:hyperlink r:id="rId14">
        <w:r>
          <w:rPr>
            <w:sz w:val="24"/>
          </w:rPr>
          <w:t>http://www.proplan.ufrpe.br/sites/www.proplan.ufrpe.br/files/pdi_ufrpe_2013-2020.pdf</w:t>
        </w:r>
      </w:hyperlink>
    </w:p>
    <w:p>
      <w:pPr>
        <w:pStyle w:val="BodyText"/>
        <w:spacing w:before="7"/>
        <w:rPr>
          <w:sz w:val="27"/>
        </w:rPr>
      </w:pPr>
    </w:p>
    <w:p>
      <w:pPr>
        <w:spacing w:line="276" w:lineRule="auto" w:before="1"/>
        <w:ind w:left="580" w:right="1211" w:firstLine="0"/>
        <w:jc w:val="left"/>
        <w:rPr>
          <w:sz w:val="24"/>
        </w:rPr>
      </w:pPr>
      <w:r>
        <w:rPr>
          <w:sz w:val="24"/>
        </w:rPr>
        <w:t>PDTI. </w:t>
      </w:r>
      <w:r>
        <w:rPr>
          <w:b/>
          <w:sz w:val="24"/>
        </w:rPr>
        <w:t>Plano Diretor de Tecnologia da Informação</w:t>
      </w:r>
      <w:r>
        <w:rPr>
          <w:sz w:val="24"/>
        </w:rPr>
        <w:t>, 2016 (Aditamento PDTI 2013-2015) Disponível em: </w:t>
      </w:r>
      <w:hyperlink r:id="rId15">
        <w:r>
          <w:rPr>
            <w:sz w:val="24"/>
            <w:u w:val="single"/>
          </w:rPr>
          <w:t>http://www.pdti.ufrpe.br/sites/www.pdti.ufrpe.br/files/pdti_2016.pdf</w:t>
        </w:r>
      </w:hyperlink>
    </w:p>
    <w:p>
      <w:pPr>
        <w:pStyle w:val="BodyText"/>
        <w:spacing w:before="7"/>
        <w:rPr>
          <w:sz w:val="19"/>
        </w:rPr>
      </w:pPr>
    </w:p>
    <w:p>
      <w:pPr>
        <w:spacing w:before="90"/>
        <w:ind w:left="580" w:right="0" w:firstLine="0"/>
        <w:jc w:val="left"/>
        <w:rPr>
          <w:sz w:val="24"/>
        </w:rPr>
      </w:pPr>
      <w:r>
        <w:rPr>
          <w:sz w:val="24"/>
        </w:rPr>
        <w:t>PortalUFRN. </w:t>
      </w:r>
      <w:r>
        <w:rPr>
          <w:b/>
          <w:sz w:val="24"/>
        </w:rPr>
        <w:t>Portal de dados abertos da UFRN. </w:t>
      </w:r>
      <w:r>
        <w:rPr>
          <w:sz w:val="24"/>
        </w:rPr>
        <w:t>Disponível em: </w:t>
      </w:r>
      <w:hyperlink r:id="rId16">
        <w:r>
          <w:rPr>
            <w:sz w:val="24"/>
            <w:u w:val="single"/>
          </w:rPr>
          <w:t>http://dados.ufrn.br/</w:t>
        </w:r>
      </w:hyperlink>
    </w:p>
    <w:p>
      <w:pPr>
        <w:pStyle w:val="BodyText"/>
        <w:rPr>
          <w:sz w:val="20"/>
        </w:rPr>
      </w:pPr>
    </w:p>
    <w:p>
      <w:pPr>
        <w:pStyle w:val="BodyText"/>
        <w:spacing w:before="1"/>
        <w:rPr>
          <w:sz w:val="18"/>
        </w:rPr>
      </w:pPr>
    </w:p>
    <w:p>
      <w:pPr>
        <w:pStyle w:val="Heading1"/>
        <w:spacing w:before="90"/>
      </w:pPr>
      <w:bookmarkStart w:name="_TOC_250000" w:id="9"/>
      <w:bookmarkEnd w:id="9"/>
      <w:r>
        <w:rPr/>
        <w:t>Glossário</w:t>
      </w:r>
    </w:p>
    <w:p>
      <w:pPr>
        <w:pStyle w:val="BodyText"/>
        <w:spacing w:before="156"/>
        <w:ind w:left="580"/>
      </w:pPr>
      <w:r>
        <w:rPr/>
        <w:t>Os termos abaixo referem-se às definições apresentadas no Plano de Ação da INDA.</w:t>
      </w:r>
    </w:p>
    <w:p>
      <w:pPr>
        <w:pStyle w:val="BodyText"/>
        <w:spacing w:before="1"/>
        <w:rPr>
          <w:sz w:val="31"/>
        </w:rPr>
      </w:pPr>
    </w:p>
    <w:p>
      <w:pPr>
        <w:pStyle w:val="BodyText"/>
        <w:spacing w:line="276" w:lineRule="auto" w:before="1"/>
        <w:ind w:left="580" w:right="954"/>
        <w:jc w:val="both"/>
      </w:pPr>
      <w:r>
        <w:rPr>
          <w:b/>
        </w:rPr>
        <w:t>API: </w:t>
      </w:r>
      <w:r>
        <w:rPr/>
        <w:t>Interface de Programação de Aplicativos, do Inglês API - </w:t>
      </w:r>
      <w:r>
        <w:rPr>
          <w:i/>
        </w:rPr>
        <w:t>"ApplicationProgramming </w:t>
      </w:r>
      <w:r>
        <w:rPr>
          <w:i/>
        </w:rPr>
        <w:t>Interface"</w:t>
      </w:r>
      <w:r>
        <w:rPr/>
        <w:t>. Consiste em um conjunto de serviços disponibilizados para acesso a um sistema ou plataforma online baseada na</w:t>
      </w:r>
      <w:r>
        <w:rPr>
          <w:spacing w:val="-3"/>
        </w:rPr>
        <w:t> </w:t>
      </w:r>
      <w:r>
        <w:rPr/>
        <w:t>Web.</w:t>
      </w:r>
    </w:p>
    <w:p>
      <w:pPr>
        <w:pStyle w:val="BodyText"/>
        <w:spacing w:before="7"/>
        <w:rPr>
          <w:sz w:val="27"/>
        </w:rPr>
      </w:pPr>
    </w:p>
    <w:p>
      <w:pPr>
        <w:pStyle w:val="BodyText"/>
        <w:spacing w:line="276" w:lineRule="auto"/>
        <w:ind w:left="580" w:right="961"/>
        <w:jc w:val="both"/>
      </w:pPr>
      <w:r>
        <w:rPr>
          <w:b/>
        </w:rPr>
        <w:t>Dado: </w:t>
      </w:r>
      <w:r>
        <w:rPr/>
        <w:t>sequência de símbolos ou de valores representados em algum meio, produzidos como resultado de um processo natural ou artificial. Entende-se que dados são observações ou o resultado de uma medida (por investigação, cálculo ou pesquisa) de aspectos característicos</w:t>
      </w:r>
    </w:p>
    <w:p>
      <w:pPr>
        <w:spacing w:after="0" w:line="276" w:lineRule="auto"/>
        <w:jc w:val="both"/>
        <w:sectPr>
          <w:pgSz w:w="11910" w:h="16840"/>
          <w:pgMar w:header="763" w:footer="488" w:top="1640" w:bottom="680" w:left="860" w:right="480"/>
        </w:sectPr>
      </w:pPr>
    </w:p>
    <w:p>
      <w:pPr>
        <w:pStyle w:val="BodyText"/>
        <w:spacing w:line="276" w:lineRule="auto" w:before="92"/>
        <w:ind w:left="580" w:right="963"/>
        <w:jc w:val="both"/>
      </w:pPr>
      <w:r>
        <w:rPr/>
        <w:t>de natureza, estado ou condição de algo de interesse, que são descritos a partir de representações formais e apresentados de forma direta ou indireta à consciência. Serve de base ou de pressuposto no processo cognitivo (HOUAISS, 20013; SETZER,</w:t>
      </w:r>
      <w:r>
        <w:rPr>
          <w:spacing w:val="-7"/>
        </w:rPr>
        <w:t> </w:t>
      </w:r>
      <w:r>
        <w:rPr/>
        <w:t>20014).</w:t>
      </w:r>
    </w:p>
    <w:p>
      <w:pPr>
        <w:pStyle w:val="BodyText"/>
        <w:spacing w:before="6"/>
        <w:rPr>
          <w:sz w:val="27"/>
        </w:rPr>
      </w:pPr>
    </w:p>
    <w:p>
      <w:pPr>
        <w:pStyle w:val="BodyText"/>
        <w:spacing w:line="276" w:lineRule="auto" w:before="1"/>
        <w:ind w:left="580" w:right="961"/>
        <w:jc w:val="both"/>
      </w:pPr>
      <w:r>
        <w:rPr>
          <w:b/>
        </w:rPr>
        <w:t>Dados abertos: </w:t>
      </w:r>
      <w:r>
        <w:rPr/>
        <w:t>dados públicos representados em meio digital, estruturados em formato aberto, processáveis por máquina, referenciados na rede mundial de computadores e disponibilizados sob licença aberta que permita sua livre utilização, seu consumo ou cruzamento.</w:t>
      </w:r>
    </w:p>
    <w:p>
      <w:pPr>
        <w:pStyle w:val="BodyText"/>
        <w:spacing w:before="9"/>
        <w:rPr>
          <w:sz w:val="27"/>
        </w:rPr>
      </w:pPr>
    </w:p>
    <w:p>
      <w:pPr>
        <w:pStyle w:val="BodyText"/>
        <w:spacing w:line="276" w:lineRule="auto"/>
        <w:ind w:left="580" w:right="1752"/>
      </w:pPr>
      <w:r>
        <w:rPr>
          <w:b/>
        </w:rPr>
        <w:t>Dado público: </w:t>
      </w:r>
      <w:r>
        <w:rPr/>
        <w:t>qualquer dado gerado ou sob a guarda governamental que não tenha o seu acesso restrito por legislação específica.</w:t>
      </w:r>
    </w:p>
    <w:p>
      <w:pPr>
        <w:pStyle w:val="BodyText"/>
        <w:spacing w:before="5"/>
        <w:rPr>
          <w:sz w:val="27"/>
        </w:rPr>
      </w:pPr>
    </w:p>
    <w:p>
      <w:pPr>
        <w:pStyle w:val="BodyText"/>
        <w:spacing w:line="276" w:lineRule="auto"/>
        <w:ind w:left="580" w:right="954"/>
        <w:jc w:val="both"/>
      </w:pPr>
      <w:r>
        <w:rPr>
          <w:b/>
        </w:rPr>
        <w:t>e-PING: </w:t>
      </w:r>
      <w:r>
        <w:rPr/>
        <w:t>padrões de Interoperabilidade de Governo Eletrônico – define um conjunto mínimo de premissas, políticas e especificações técnicas que regulamenta a utilização da Tecnologia de Informação e Comunicação (TIC) na interoperabilidade de serviços de Governo Eletrônico, estabelecendo as condições de interação com os demais Poderes e as esferas de governo e com a sociedade em</w:t>
      </w:r>
      <w:r>
        <w:rPr>
          <w:spacing w:val="-1"/>
        </w:rPr>
        <w:t> </w:t>
      </w:r>
      <w:r>
        <w:rPr/>
        <w:t>geral.</w:t>
      </w:r>
    </w:p>
    <w:p>
      <w:pPr>
        <w:pStyle w:val="BodyText"/>
        <w:spacing w:before="8"/>
        <w:rPr>
          <w:sz w:val="27"/>
        </w:rPr>
      </w:pPr>
    </w:p>
    <w:p>
      <w:pPr>
        <w:pStyle w:val="BodyText"/>
        <w:spacing w:line="276" w:lineRule="auto" w:before="1"/>
        <w:ind w:left="580" w:right="960"/>
        <w:jc w:val="both"/>
      </w:pPr>
      <w:r>
        <w:rPr>
          <w:b/>
        </w:rPr>
        <w:t>Formato aberto: </w:t>
      </w:r>
      <w:r>
        <w:rPr/>
        <w:t>formato de arquivo não proprietário, cuja especificação esteja documentada publicamente e seja de livre conhecimento e implementação, livre de patentes ou de qualquer outra restrição legal quanto à sua utilização.</w:t>
      </w:r>
    </w:p>
    <w:p>
      <w:pPr>
        <w:pStyle w:val="BodyText"/>
        <w:spacing w:before="7"/>
        <w:rPr>
          <w:sz w:val="27"/>
        </w:rPr>
      </w:pPr>
    </w:p>
    <w:p>
      <w:pPr>
        <w:pStyle w:val="BodyText"/>
        <w:spacing w:line="276" w:lineRule="auto"/>
        <w:ind w:left="580" w:right="964"/>
      </w:pPr>
      <w:r>
        <w:rPr>
          <w:b/>
        </w:rPr>
        <w:t>Informação: </w:t>
      </w:r>
      <w:r>
        <w:rPr/>
        <w:t>dados, processados ou não, que podem ser utilizados para produção e transmissão de conhecimento, contidos em qualquer meio, suporte ou formato. A informação é gerada a partir de algum tratamento ou processamento de dados por parte do seu usuário, envolvendo, além de procedimentos formais (tradução, formatação, fusão, exibição etc.), os processos cognitivos de cada indivíduo (MACHADO, 20025; SETZER, 2001).</w:t>
      </w:r>
    </w:p>
    <w:p>
      <w:pPr>
        <w:pStyle w:val="BodyText"/>
        <w:spacing w:before="6"/>
        <w:rPr>
          <w:sz w:val="27"/>
        </w:rPr>
      </w:pPr>
    </w:p>
    <w:p>
      <w:pPr>
        <w:pStyle w:val="BodyText"/>
        <w:spacing w:line="276" w:lineRule="auto"/>
        <w:ind w:left="580" w:right="999"/>
      </w:pPr>
      <w:r>
        <w:rPr>
          <w:b/>
        </w:rPr>
        <w:t>Licença aberta: </w:t>
      </w:r>
      <w:r>
        <w:rPr/>
        <w:t>acordo de fornecimento de dados que conceda amplo acesso para que qualquer pessoa os utilize, reutilize e redistribua, estando sujeito a, no máximo, a exigência de creditar a sua autoria e compartilhar pela mesma</w:t>
      </w:r>
      <w:r>
        <w:rPr>
          <w:spacing w:val="-6"/>
        </w:rPr>
        <w:t> </w:t>
      </w:r>
      <w:r>
        <w:rPr/>
        <w:t>licença.</w:t>
      </w:r>
    </w:p>
    <w:p>
      <w:pPr>
        <w:pStyle w:val="BodyText"/>
        <w:spacing w:before="7"/>
        <w:rPr>
          <w:sz w:val="27"/>
        </w:rPr>
      </w:pPr>
    </w:p>
    <w:p>
      <w:pPr>
        <w:pStyle w:val="BodyText"/>
        <w:spacing w:line="276" w:lineRule="auto"/>
        <w:ind w:left="580" w:right="1527"/>
      </w:pPr>
      <w:r>
        <w:rPr>
          <w:b/>
        </w:rPr>
        <w:t>Metadado: </w:t>
      </w:r>
      <w:r>
        <w:rPr/>
        <w:t>informação que descreve características de determinado dado, explicando-o em certo contexto de uso.</w:t>
      </w:r>
    </w:p>
    <w:p>
      <w:pPr>
        <w:pStyle w:val="BodyText"/>
        <w:spacing w:before="7"/>
        <w:rPr>
          <w:sz w:val="27"/>
        </w:rPr>
      </w:pPr>
    </w:p>
    <w:p>
      <w:pPr>
        <w:spacing w:before="0"/>
        <w:ind w:left="580" w:right="0" w:firstLine="0"/>
        <w:jc w:val="left"/>
        <w:rPr>
          <w:sz w:val="22"/>
        </w:rPr>
      </w:pPr>
      <w:r>
        <w:rPr>
          <w:color w:val="0E233D"/>
          <w:sz w:val="22"/>
        </w:rPr>
        <w:t>SALA DOS CONSELHOS DA UFRPE, em 03 de agosto de 2017.</w:t>
      </w:r>
    </w:p>
    <w:p>
      <w:pPr>
        <w:pStyle w:val="BodyText"/>
      </w:pPr>
    </w:p>
    <w:p>
      <w:pPr>
        <w:pStyle w:val="BodyText"/>
      </w:pPr>
    </w:p>
    <w:p>
      <w:pPr>
        <w:pStyle w:val="BodyText"/>
        <w:spacing w:before="9"/>
        <w:rPr>
          <w:sz w:val="31"/>
        </w:rPr>
      </w:pPr>
    </w:p>
    <w:p>
      <w:pPr>
        <w:pStyle w:val="Heading1"/>
        <w:ind w:left="563" w:right="942"/>
        <w:jc w:val="center"/>
      </w:pPr>
      <w:r>
        <w:rPr>
          <w:color w:val="0E233D"/>
        </w:rPr>
        <w:t>PROFA. MARIA JOSÉ DE SENA</w:t>
      </w:r>
    </w:p>
    <w:p>
      <w:pPr>
        <w:pStyle w:val="BodyText"/>
        <w:spacing w:before="36"/>
        <w:ind w:left="563" w:right="941"/>
        <w:jc w:val="center"/>
      </w:pPr>
      <w:r>
        <w:rPr>
          <w:color w:val="0E233D"/>
        </w:rPr>
        <w:t>= PRESIDÊNCIA =</w:t>
      </w:r>
    </w:p>
    <w:sectPr>
      <w:pgSz w:w="11910" w:h="16840"/>
      <w:pgMar w:header="763" w:footer="488" w:top="1640" w:bottom="680" w:left="8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Arial Black">
    <w:altName w:val="Arial Black"/>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806.515442pt;width:260.3pt;height:10.95pt;mso-position-horizontal-relative:page;mso-position-vertical-relative:page;z-index:-252743680" type="#_x0000_t202" filled="false" stroked="false">
          <v:textbox inset="0,0,0,0">
            <w:txbxContent>
              <w:p>
                <w:pPr>
                  <w:spacing w:before="14"/>
                  <w:ind w:left="20" w:right="0" w:firstLine="0"/>
                  <w:jc w:val="left"/>
                  <w:rPr>
                    <w:sz w:val="16"/>
                  </w:rPr>
                </w:pPr>
                <w:r>
                  <w:rPr>
                    <w:sz w:val="16"/>
                  </w:rPr>
                  <w:t>Confere com o original assinado pela Reitora e arquivado nesta Secretaria Geral.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43.746624pt;width:281.2pt;height:15.3pt;mso-position-horizontal-relative:page;mso-position-vertical-relative:page;z-index:-252745728" type="#_x0000_t202" filled="false" stroked="false">
          <v:textbox inset="0,0,0,0">
            <w:txbxContent>
              <w:p>
                <w:pPr>
                  <w:pStyle w:val="BodyText"/>
                  <w:spacing w:before="10"/>
                  <w:ind w:left="20"/>
                </w:pPr>
                <w:r>
                  <w:rPr/>
                  <w:t>(ANEXO DA RESOLUÇÃO Nº 045/2017 DO CONSU).</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7.146622pt;width:281.2pt;height:38.35pt;mso-position-horizontal-relative:page;mso-position-vertical-relative:page;z-index:-252744704" type="#_x0000_t202" filled="false" stroked="false">
          <v:textbox inset="0,0,0,0">
            <w:txbxContent>
              <w:p>
                <w:pPr>
                  <w:pStyle w:val="BodyText"/>
                  <w:spacing w:before="10"/>
                  <w:ind w:left="20"/>
                </w:pPr>
                <w:r>
                  <w:rPr/>
                  <w:t>(ANEXO DA RESOLUÇÃO Nº 045/2017 DO CONSU).</w:t>
                </w:r>
              </w:p>
              <w:p>
                <w:pPr>
                  <w:spacing w:before="207"/>
                  <w:ind w:left="20" w:right="0" w:firstLine="0"/>
                  <w:jc w:val="left"/>
                  <w:rPr>
                    <w:rFonts w:ascii="Arial"/>
                    <w:sz w:val="22"/>
                  </w:rPr>
                </w:pPr>
                <w:r>
                  <w:rPr>
                    <w:rFonts w:ascii="Arial"/>
                    <w:sz w:val="22"/>
                  </w:rPr>
                  <w:t>Plano de dados abertos da UFRPE (2017-2018)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300" w:hanging="360"/>
      </w:pPr>
      <w:rPr>
        <w:rFonts w:hint="default"/>
        <w:w w:val="100"/>
        <w:lang w:val="pt-PT" w:eastAsia="pt-PT" w:bidi="pt-PT"/>
      </w:rPr>
    </w:lvl>
    <w:lvl w:ilvl="1">
      <w:start w:val="0"/>
      <w:numFmt w:val="bullet"/>
      <w:lvlText w:val="•"/>
      <w:lvlJc w:val="left"/>
      <w:pPr>
        <w:ind w:left="2226" w:hanging="360"/>
      </w:pPr>
      <w:rPr>
        <w:rFonts w:hint="default"/>
        <w:lang w:val="pt-PT" w:eastAsia="pt-PT" w:bidi="pt-PT"/>
      </w:rPr>
    </w:lvl>
    <w:lvl w:ilvl="2">
      <w:start w:val="0"/>
      <w:numFmt w:val="bullet"/>
      <w:lvlText w:val="•"/>
      <w:lvlJc w:val="left"/>
      <w:pPr>
        <w:ind w:left="3153" w:hanging="360"/>
      </w:pPr>
      <w:rPr>
        <w:rFonts w:hint="default"/>
        <w:lang w:val="pt-PT" w:eastAsia="pt-PT" w:bidi="pt-PT"/>
      </w:rPr>
    </w:lvl>
    <w:lvl w:ilvl="3">
      <w:start w:val="0"/>
      <w:numFmt w:val="bullet"/>
      <w:lvlText w:val="•"/>
      <w:lvlJc w:val="left"/>
      <w:pPr>
        <w:ind w:left="4079" w:hanging="360"/>
      </w:pPr>
      <w:rPr>
        <w:rFonts w:hint="default"/>
        <w:lang w:val="pt-PT" w:eastAsia="pt-PT" w:bidi="pt-PT"/>
      </w:rPr>
    </w:lvl>
    <w:lvl w:ilvl="4">
      <w:start w:val="0"/>
      <w:numFmt w:val="bullet"/>
      <w:lvlText w:val="•"/>
      <w:lvlJc w:val="left"/>
      <w:pPr>
        <w:ind w:left="5006" w:hanging="360"/>
      </w:pPr>
      <w:rPr>
        <w:rFonts w:hint="default"/>
        <w:lang w:val="pt-PT" w:eastAsia="pt-PT" w:bidi="pt-PT"/>
      </w:rPr>
    </w:lvl>
    <w:lvl w:ilvl="5">
      <w:start w:val="0"/>
      <w:numFmt w:val="bullet"/>
      <w:lvlText w:val="•"/>
      <w:lvlJc w:val="left"/>
      <w:pPr>
        <w:ind w:left="5933" w:hanging="360"/>
      </w:pPr>
      <w:rPr>
        <w:rFonts w:hint="default"/>
        <w:lang w:val="pt-PT" w:eastAsia="pt-PT" w:bidi="pt-PT"/>
      </w:rPr>
    </w:lvl>
    <w:lvl w:ilvl="6">
      <w:start w:val="0"/>
      <w:numFmt w:val="bullet"/>
      <w:lvlText w:val="•"/>
      <w:lvlJc w:val="left"/>
      <w:pPr>
        <w:ind w:left="6859" w:hanging="360"/>
      </w:pPr>
      <w:rPr>
        <w:rFonts w:hint="default"/>
        <w:lang w:val="pt-PT" w:eastAsia="pt-PT" w:bidi="pt-PT"/>
      </w:rPr>
    </w:lvl>
    <w:lvl w:ilvl="7">
      <w:start w:val="0"/>
      <w:numFmt w:val="bullet"/>
      <w:lvlText w:val="•"/>
      <w:lvlJc w:val="left"/>
      <w:pPr>
        <w:ind w:left="7786" w:hanging="360"/>
      </w:pPr>
      <w:rPr>
        <w:rFonts w:hint="default"/>
        <w:lang w:val="pt-PT" w:eastAsia="pt-PT" w:bidi="pt-PT"/>
      </w:rPr>
    </w:lvl>
    <w:lvl w:ilvl="8">
      <w:start w:val="0"/>
      <w:numFmt w:val="bullet"/>
      <w:lvlText w:val="•"/>
      <w:lvlJc w:val="left"/>
      <w:pPr>
        <w:ind w:left="8713" w:hanging="360"/>
      </w:pPr>
      <w:rPr>
        <w:rFonts w:hint="default"/>
        <w:lang w:val="pt-PT" w:eastAsia="pt-PT" w:bidi="pt-PT"/>
      </w:rPr>
    </w:lvl>
  </w:abstractNum>
  <w:abstractNum w:abstractNumId="8">
    <w:multiLevelType w:val="hybridMultilevel"/>
    <w:lvl w:ilvl="0">
      <w:start w:val="1"/>
      <w:numFmt w:val="decimal"/>
      <w:lvlText w:val="%1."/>
      <w:lvlJc w:val="left"/>
      <w:pPr>
        <w:ind w:left="1300" w:hanging="360"/>
        <w:jc w:val="left"/>
      </w:pPr>
      <w:rPr>
        <w:rFonts w:hint="default" w:ascii="Cambria" w:hAnsi="Cambria" w:eastAsia="Cambria" w:cs="Cambria"/>
        <w:w w:val="100"/>
        <w:sz w:val="28"/>
        <w:szCs w:val="28"/>
        <w:lang w:val="pt-PT" w:eastAsia="pt-PT" w:bidi="pt-PT"/>
      </w:rPr>
    </w:lvl>
    <w:lvl w:ilvl="1">
      <w:start w:val="5"/>
      <w:numFmt w:val="decimal"/>
      <w:lvlText w:val="%2."/>
      <w:lvlJc w:val="left"/>
      <w:pPr>
        <w:ind w:left="2522" w:hanging="241"/>
        <w:jc w:val="left"/>
      </w:pPr>
      <w:rPr>
        <w:rFonts w:hint="default"/>
        <w:b/>
        <w:bCs/>
        <w:spacing w:val="-3"/>
        <w:w w:val="99"/>
        <w:lang w:val="pt-PT" w:eastAsia="pt-PT" w:bidi="pt-PT"/>
      </w:rPr>
    </w:lvl>
    <w:lvl w:ilvl="2">
      <w:start w:val="1"/>
      <w:numFmt w:val="decimal"/>
      <w:lvlText w:val="%2.%3"/>
      <w:lvlJc w:val="left"/>
      <w:pPr>
        <w:ind w:left="2642" w:hanging="360"/>
        <w:jc w:val="left"/>
      </w:pPr>
      <w:rPr>
        <w:rFonts w:hint="default"/>
        <w:b/>
        <w:bCs/>
        <w:spacing w:val="-2"/>
        <w:w w:val="99"/>
        <w:lang w:val="pt-PT" w:eastAsia="pt-PT" w:bidi="pt-PT"/>
      </w:rPr>
    </w:lvl>
    <w:lvl w:ilvl="3">
      <w:start w:val="0"/>
      <w:numFmt w:val="bullet"/>
      <w:lvlText w:val="•"/>
      <w:lvlJc w:val="left"/>
      <w:pPr>
        <w:ind w:left="3630" w:hanging="360"/>
      </w:pPr>
      <w:rPr>
        <w:rFonts w:hint="default"/>
        <w:lang w:val="pt-PT" w:eastAsia="pt-PT" w:bidi="pt-PT"/>
      </w:rPr>
    </w:lvl>
    <w:lvl w:ilvl="4">
      <w:start w:val="0"/>
      <w:numFmt w:val="bullet"/>
      <w:lvlText w:val="•"/>
      <w:lvlJc w:val="left"/>
      <w:pPr>
        <w:ind w:left="4621" w:hanging="360"/>
      </w:pPr>
      <w:rPr>
        <w:rFonts w:hint="default"/>
        <w:lang w:val="pt-PT" w:eastAsia="pt-PT" w:bidi="pt-PT"/>
      </w:rPr>
    </w:lvl>
    <w:lvl w:ilvl="5">
      <w:start w:val="0"/>
      <w:numFmt w:val="bullet"/>
      <w:lvlText w:val="•"/>
      <w:lvlJc w:val="left"/>
      <w:pPr>
        <w:ind w:left="5612" w:hanging="360"/>
      </w:pPr>
      <w:rPr>
        <w:rFonts w:hint="default"/>
        <w:lang w:val="pt-PT" w:eastAsia="pt-PT" w:bidi="pt-PT"/>
      </w:rPr>
    </w:lvl>
    <w:lvl w:ilvl="6">
      <w:start w:val="0"/>
      <w:numFmt w:val="bullet"/>
      <w:lvlText w:val="•"/>
      <w:lvlJc w:val="left"/>
      <w:pPr>
        <w:ind w:left="6603" w:hanging="360"/>
      </w:pPr>
      <w:rPr>
        <w:rFonts w:hint="default"/>
        <w:lang w:val="pt-PT" w:eastAsia="pt-PT" w:bidi="pt-PT"/>
      </w:rPr>
    </w:lvl>
    <w:lvl w:ilvl="7">
      <w:start w:val="0"/>
      <w:numFmt w:val="bullet"/>
      <w:lvlText w:val="•"/>
      <w:lvlJc w:val="left"/>
      <w:pPr>
        <w:ind w:left="7594" w:hanging="360"/>
      </w:pPr>
      <w:rPr>
        <w:rFonts w:hint="default"/>
        <w:lang w:val="pt-PT" w:eastAsia="pt-PT" w:bidi="pt-PT"/>
      </w:rPr>
    </w:lvl>
    <w:lvl w:ilvl="8">
      <w:start w:val="0"/>
      <w:numFmt w:val="bullet"/>
      <w:lvlText w:val="•"/>
      <w:lvlJc w:val="left"/>
      <w:pPr>
        <w:ind w:left="8584" w:hanging="360"/>
      </w:pPr>
      <w:rPr>
        <w:rFonts w:hint="default"/>
        <w:lang w:val="pt-PT" w:eastAsia="pt-PT" w:bidi="pt-PT"/>
      </w:rPr>
    </w:lvl>
  </w:abstractNum>
  <w:abstractNum w:abstractNumId="7">
    <w:multiLevelType w:val="hybridMultilevel"/>
    <w:lvl w:ilvl="0">
      <w:start w:val="1"/>
      <w:numFmt w:val="decimal"/>
      <w:lvlText w:val="%1."/>
      <w:lvlJc w:val="left"/>
      <w:pPr>
        <w:ind w:left="1300" w:hanging="360"/>
        <w:jc w:val="left"/>
      </w:pPr>
      <w:rPr>
        <w:rFonts w:hint="default" w:ascii="Cambria" w:hAnsi="Cambria" w:eastAsia="Cambria" w:cs="Cambria"/>
        <w:w w:val="100"/>
        <w:sz w:val="28"/>
        <w:szCs w:val="28"/>
        <w:lang w:val="pt-PT" w:eastAsia="pt-PT" w:bidi="pt-PT"/>
      </w:rPr>
    </w:lvl>
    <w:lvl w:ilvl="1">
      <w:start w:val="0"/>
      <w:numFmt w:val="bullet"/>
      <w:lvlText w:val="•"/>
      <w:lvlJc w:val="left"/>
      <w:pPr>
        <w:ind w:left="2226" w:hanging="360"/>
      </w:pPr>
      <w:rPr>
        <w:rFonts w:hint="default"/>
        <w:lang w:val="pt-PT" w:eastAsia="pt-PT" w:bidi="pt-PT"/>
      </w:rPr>
    </w:lvl>
    <w:lvl w:ilvl="2">
      <w:start w:val="0"/>
      <w:numFmt w:val="bullet"/>
      <w:lvlText w:val="•"/>
      <w:lvlJc w:val="left"/>
      <w:pPr>
        <w:ind w:left="3153" w:hanging="360"/>
      </w:pPr>
      <w:rPr>
        <w:rFonts w:hint="default"/>
        <w:lang w:val="pt-PT" w:eastAsia="pt-PT" w:bidi="pt-PT"/>
      </w:rPr>
    </w:lvl>
    <w:lvl w:ilvl="3">
      <w:start w:val="0"/>
      <w:numFmt w:val="bullet"/>
      <w:lvlText w:val="•"/>
      <w:lvlJc w:val="left"/>
      <w:pPr>
        <w:ind w:left="4079" w:hanging="360"/>
      </w:pPr>
      <w:rPr>
        <w:rFonts w:hint="default"/>
        <w:lang w:val="pt-PT" w:eastAsia="pt-PT" w:bidi="pt-PT"/>
      </w:rPr>
    </w:lvl>
    <w:lvl w:ilvl="4">
      <w:start w:val="0"/>
      <w:numFmt w:val="bullet"/>
      <w:lvlText w:val="•"/>
      <w:lvlJc w:val="left"/>
      <w:pPr>
        <w:ind w:left="5006" w:hanging="360"/>
      </w:pPr>
      <w:rPr>
        <w:rFonts w:hint="default"/>
        <w:lang w:val="pt-PT" w:eastAsia="pt-PT" w:bidi="pt-PT"/>
      </w:rPr>
    </w:lvl>
    <w:lvl w:ilvl="5">
      <w:start w:val="0"/>
      <w:numFmt w:val="bullet"/>
      <w:lvlText w:val="•"/>
      <w:lvlJc w:val="left"/>
      <w:pPr>
        <w:ind w:left="5933" w:hanging="360"/>
      </w:pPr>
      <w:rPr>
        <w:rFonts w:hint="default"/>
        <w:lang w:val="pt-PT" w:eastAsia="pt-PT" w:bidi="pt-PT"/>
      </w:rPr>
    </w:lvl>
    <w:lvl w:ilvl="6">
      <w:start w:val="0"/>
      <w:numFmt w:val="bullet"/>
      <w:lvlText w:val="•"/>
      <w:lvlJc w:val="left"/>
      <w:pPr>
        <w:ind w:left="6859" w:hanging="360"/>
      </w:pPr>
      <w:rPr>
        <w:rFonts w:hint="default"/>
        <w:lang w:val="pt-PT" w:eastAsia="pt-PT" w:bidi="pt-PT"/>
      </w:rPr>
    </w:lvl>
    <w:lvl w:ilvl="7">
      <w:start w:val="0"/>
      <w:numFmt w:val="bullet"/>
      <w:lvlText w:val="•"/>
      <w:lvlJc w:val="left"/>
      <w:pPr>
        <w:ind w:left="7786" w:hanging="360"/>
      </w:pPr>
      <w:rPr>
        <w:rFonts w:hint="default"/>
        <w:lang w:val="pt-PT" w:eastAsia="pt-PT" w:bidi="pt-PT"/>
      </w:rPr>
    </w:lvl>
    <w:lvl w:ilvl="8">
      <w:start w:val="0"/>
      <w:numFmt w:val="bullet"/>
      <w:lvlText w:val="•"/>
      <w:lvlJc w:val="left"/>
      <w:pPr>
        <w:ind w:left="8713" w:hanging="360"/>
      </w:pPr>
      <w:rPr>
        <w:rFonts w:hint="default"/>
        <w:lang w:val="pt-PT" w:eastAsia="pt-PT" w:bidi="pt-PT"/>
      </w:rPr>
    </w:lvl>
  </w:abstractNum>
  <w:abstractNum w:abstractNumId="6">
    <w:multiLevelType w:val="hybridMultilevel"/>
    <w:lvl w:ilvl="0">
      <w:start w:val="1"/>
      <w:numFmt w:val="decimal"/>
      <w:lvlText w:val="%1."/>
      <w:lvlJc w:val="left"/>
      <w:pPr>
        <w:ind w:left="580" w:hanging="459"/>
        <w:jc w:val="left"/>
      </w:pPr>
      <w:rPr>
        <w:rFonts w:hint="default"/>
        <w:b/>
        <w:bCs/>
        <w:spacing w:val="-4"/>
        <w:w w:val="99"/>
        <w:lang w:val="pt-PT" w:eastAsia="pt-PT" w:bidi="pt-PT"/>
      </w:rPr>
    </w:lvl>
    <w:lvl w:ilvl="1">
      <w:start w:val="0"/>
      <w:numFmt w:val="bullet"/>
      <w:lvlText w:val="•"/>
      <w:lvlJc w:val="left"/>
      <w:pPr>
        <w:ind w:left="1578" w:hanging="459"/>
      </w:pPr>
      <w:rPr>
        <w:rFonts w:hint="default"/>
        <w:lang w:val="pt-PT" w:eastAsia="pt-PT" w:bidi="pt-PT"/>
      </w:rPr>
    </w:lvl>
    <w:lvl w:ilvl="2">
      <w:start w:val="0"/>
      <w:numFmt w:val="bullet"/>
      <w:lvlText w:val="•"/>
      <w:lvlJc w:val="left"/>
      <w:pPr>
        <w:ind w:left="2577" w:hanging="459"/>
      </w:pPr>
      <w:rPr>
        <w:rFonts w:hint="default"/>
        <w:lang w:val="pt-PT" w:eastAsia="pt-PT" w:bidi="pt-PT"/>
      </w:rPr>
    </w:lvl>
    <w:lvl w:ilvl="3">
      <w:start w:val="0"/>
      <w:numFmt w:val="bullet"/>
      <w:lvlText w:val="•"/>
      <w:lvlJc w:val="left"/>
      <w:pPr>
        <w:ind w:left="3575" w:hanging="459"/>
      </w:pPr>
      <w:rPr>
        <w:rFonts w:hint="default"/>
        <w:lang w:val="pt-PT" w:eastAsia="pt-PT" w:bidi="pt-PT"/>
      </w:rPr>
    </w:lvl>
    <w:lvl w:ilvl="4">
      <w:start w:val="0"/>
      <w:numFmt w:val="bullet"/>
      <w:lvlText w:val="•"/>
      <w:lvlJc w:val="left"/>
      <w:pPr>
        <w:ind w:left="4574" w:hanging="459"/>
      </w:pPr>
      <w:rPr>
        <w:rFonts w:hint="default"/>
        <w:lang w:val="pt-PT" w:eastAsia="pt-PT" w:bidi="pt-PT"/>
      </w:rPr>
    </w:lvl>
    <w:lvl w:ilvl="5">
      <w:start w:val="0"/>
      <w:numFmt w:val="bullet"/>
      <w:lvlText w:val="•"/>
      <w:lvlJc w:val="left"/>
      <w:pPr>
        <w:ind w:left="5573" w:hanging="459"/>
      </w:pPr>
      <w:rPr>
        <w:rFonts w:hint="default"/>
        <w:lang w:val="pt-PT" w:eastAsia="pt-PT" w:bidi="pt-PT"/>
      </w:rPr>
    </w:lvl>
    <w:lvl w:ilvl="6">
      <w:start w:val="0"/>
      <w:numFmt w:val="bullet"/>
      <w:lvlText w:val="•"/>
      <w:lvlJc w:val="left"/>
      <w:pPr>
        <w:ind w:left="6571" w:hanging="459"/>
      </w:pPr>
      <w:rPr>
        <w:rFonts w:hint="default"/>
        <w:lang w:val="pt-PT" w:eastAsia="pt-PT" w:bidi="pt-PT"/>
      </w:rPr>
    </w:lvl>
    <w:lvl w:ilvl="7">
      <w:start w:val="0"/>
      <w:numFmt w:val="bullet"/>
      <w:lvlText w:val="•"/>
      <w:lvlJc w:val="left"/>
      <w:pPr>
        <w:ind w:left="7570" w:hanging="459"/>
      </w:pPr>
      <w:rPr>
        <w:rFonts w:hint="default"/>
        <w:lang w:val="pt-PT" w:eastAsia="pt-PT" w:bidi="pt-PT"/>
      </w:rPr>
    </w:lvl>
    <w:lvl w:ilvl="8">
      <w:start w:val="0"/>
      <w:numFmt w:val="bullet"/>
      <w:lvlText w:val="•"/>
      <w:lvlJc w:val="left"/>
      <w:pPr>
        <w:ind w:left="8569" w:hanging="459"/>
      </w:pPr>
      <w:rPr>
        <w:rFonts w:hint="default"/>
        <w:lang w:val="pt-PT" w:eastAsia="pt-PT" w:bidi="pt-PT"/>
      </w:rPr>
    </w:lvl>
  </w:abstractNum>
  <w:abstractNum w:abstractNumId="5">
    <w:multiLevelType w:val="hybridMultilevel"/>
    <w:lvl w:ilvl="0">
      <w:start w:val="2"/>
      <w:numFmt w:val="decimal"/>
      <w:lvlText w:val="%1"/>
      <w:lvlJc w:val="left"/>
      <w:pPr>
        <w:ind w:left="940" w:hanging="360"/>
        <w:jc w:val="left"/>
      </w:pPr>
      <w:rPr>
        <w:rFonts w:hint="default"/>
        <w:lang w:val="pt-PT" w:eastAsia="pt-PT" w:bidi="pt-PT"/>
      </w:rPr>
    </w:lvl>
    <w:lvl w:ilvl="1">
      <w:start w:val="2"/>
      <w:numFmt w:val="decimal"/>
      <w:lvlText w:val="%1.%2"/>
      <w:lvlJc w:val="left"/>
      <w:pPr>
        <w:ind w:left="940" w:hanging="360"/>
        <w:jc w:val="left"/>
      </w:pPr>
      <w:rPr>
        <w:rFonts w:hint="default"/>
        <w:spacing w:val="-2"/>
        <w:w w:val="99"/>
        <w:lang w:val="pt-PT" w:eastAsia="pt-PT" w:bidi="pt-PT"/>
      </w:rPr>
    </w:lvl>
    <w:lvl w:ilvl="2">
      <w:start w:val="0"/>
      <w:numFmt w:val="bullet"/>
      <w:lvlText w:val=""/>
      <w:lvlJc w:val="left"/>
      <w:pPr>
        <w:ind w:left="1300" w:hanging="360"/>
      </w:pPr>
      <w:rPr>
        <w:rFonts w:hint="default"/>
        <w:w w:val="100"/>
        <w:lang w:val="pt-PT" w:eastAsia="pt-PT" w:bidi="pt-PT"/>
      </w:rPr>
    </w:lvl>
    <w:lvl w:ilvl="3">
      <w:start w:val="0"/>
      <w:numFmt w:val="bullet"/>
      <w:lvlText w:val="•"/>
      <w:lvlJc w:val="left"/>
      <w:pPr>
        <w:ind w:left="3359" w:hanging="360"/>
      </w:pPr>
      <w:rPr>
        <w:rFonts w:hint="default"/>
        <w:lang w:val="pt-PT" w:eastAsia="pt-PT" w:bidi="pt-PT"/>
      </w:rPr>
    </w:lvl>
    <w:lvl w:ilvl="4">
      <w:start w:val="0"/>
      <w:numFmt w:val="bullet"/>
      <w:lvlText w:val="•"/>
      <w:lvlJc w:val="left"/>
      <w:pPr>
        <w:ind w:left="4388" w:hanging="360"/>
      </w:pPr>
      <w:rPr>
        <w:rFonts w:hint="default"/>
        <w:lang w:val="pt-PT" w:eastAsia="pt-PT" w:bidi="pt-PT"/>
      </w:rPr>
    </w:lvl>
    <w:lvl w:ilvl="5">
      <w:start w:val="0"/>
      <w:numFmt w:val="bullet"/>
      <w:lvlText w:val="•"/>
      <w:lvlJc w:val="left"/>
      <w:pPr>
        <w:ind w:left="5418" w:hanging="360"/>
      </w:pPr>
      <w:rPr>
        <w:rFonts w:hint="default"/>
        <w:lang w:val="pt-PT" w:eastAsia="pt-PT" w:bidi="pt-PT"/>
      </w:rPr>
    </w:lvl>
    <w:lvl w:ilvl="6">
      <w:start w:val="0"/>
      <w:numFmt w:val="bullet"/>
      <w:lvlText w:val="•"/>
      <w:lvlJc w:val="left"/>
      <w:pPr>
        <w:ind w:left="6448" w:hanging="360"/>
      </w:pPr>
      <w:rPr>
        <w:rFonts w:hint="default"/>
        <w:lang w:val="pt-PT" w:eastAsia="pt-PT" w:bidi="pt-PT"/>
      </w:rPr>
    </w:lvl>
    <w:lvl w:ilvl="7">
      <w:start w:val="0"/>
      <w:numFmt w:val="bullet"/>
      <w:lvlText w:val="•"/>
      <w:lvlJc w:val="left"/>
      <w:pPr>
        <w:ind w:left="7477" w:hanging="360"/>
      </w:pPr>
      <w:rPr>
        <w:rFonts w:hint="default"/>
        <w:lang w:val="pt-PT" w:eastAsia="pt-PT" w:bidi="pt-PT"/>
      </w:rPr>
    </w:lvl>
    <w:lvl w:ilvl="8">
      <w:start w:val="0"/>
      <w:numFmt w:val="bullet"/>
      <w:lvlText w:val="•"/>
      <w:lvlJc w:val="left"/>
      <w:pPr>
        <w:ind w:left="8507" w:hanging="360"/>
      </w:pPr>
      <w:rPr>
        <w:rFonts w:hint="default"/>
        <w:lang w:val="pt-PT" w:eastAsia="pt-PT" w:bidi="pt-PT"/>
      </w:rPr>
    </w:lvl>
  </w:abstractNum>
  <w:abstractNum w:abstractNumId="4">
    <w:multiLevelType w:val="hybridMultilevel"/>
    <w:lvl w:ilvl="0">
      <w:start w:val="0"/>
      <w:numFmt w:val="bullet"/>
      <w:lvlText w:val="-"/>
      <w:lvlJc w:val="left"/>
      <w:pPr>
        <w:ind w:left="1300" w:hanging="360"/>
      </w:pPr>
      <w:rPr>
        <w:rFonts w:hint="default" w:ascii="Arial Black" w:hAnsi="Arial Black" w:eastAsia="Arial Black" w:cs="Arial Black"/>
        <w:w w:val="100"/>
        <w:sz w:val="28"/>
        <w:szCs w:val="28"/>
        <w:lang w:val="pt-PT" w:eastAsia="pt-PT" w:bidi="pt-PT"/>
      </w:rPr>
    </w:lvl>
    <w:lvl w:ilvl="1">
      <w:start w:val="0"/>
      <w:numFmt w:val="bullet"/>
      <w:lvlText w:val="•"/>
      <w:lvlJc w:val="left"/>
      <w:pPr>
        <w:ind w:left="2226" w:hanging="360"/>
      </w:pPr>
      <w:rPr>
        <w:rFonts w:hint="default"/>
        <w:lang w:val="pt-PT" w:eastAsia="pt-PT" w:bidi="pt-PT"/>
      </w:rPr>
    </w:lvl>
    <w:lvl w:ilvl="2">
      <w:start w:val="0"/>
      <w:numFmt w:val="bullet"/>
      <w:lvlText w:val="•"/>
      <w:lvlJc w:val="left"/>
      <w:pPr>
        <w:ind w:left="3153" w:hanging="360"/>
      </w:pPr>
      <w:rPr>
        <w:rFonts w:hint="default"/>
        <w:lang w:val="pt-PT" w:eastAsia="pt-PT" w:bidi="pt-PT"/>
      </w:rPr>
    </w:lvl>
    <w:lvl w:ilvl="3">
      <w:start w:val="0"/>
      <w:numFmt w:val="bullet"/>
      <w:lvlText w:val="•"/>
      <w:lvlJc w:val="left"/>
      <w:pPr>
        <w:ind w:left="4079" w:hanging="360"/>
      </w:pPr>
      <w:rPr>
        <w:rFonts w:hint="default"/>
        <w:lang w:val="pt-PT" w:eastAsia="pt-PT" w:bidi="pt-PT"/>
      </w:rPr>
    </w:lvl>
    <w:lvl w:ilvl="4">
      <w:start w:val="0"/>
      <w:numFmt w:val="bullet"/>
      <w:lvlText w:val="•"/>
      <w:lvlJc w:val="left"/>
      <w:pPr>
        <w:ind w:left="5006" w:hanging="360"/>
      </w:pPr>
      <w:rPr>
        <w:rFonts w:hint="default"/>
        <w:lang w:val="pt-PT" w:eastAsia="pt-PT" w:bidi="pt-PT"/>
      </w:rPr>
    </w:lvl>
    <w:lvl w:ilvl="5">
      <w:start w:val="0"/>
      <w:numFmt w:val="bullet"/>
      <w:lvlText w:val="•"/>
      <w:lvlJc w:val="left"/>
      <w:pPr>
        <w:ind w:left="5933" w:hanging="360"/>
      </w:pPr>
      <w:rPr>
        <w:rFonts w:hint="default"/>
        <w:lang w:val="pt-PT" w:eastAsia="pt-PT" w:bidi="pt-PT"/>
      </w:rPr>
    </w:lvl>
    <w:lvl w:ilvl="6">
      <w:start w:val="0"/>
      <w:numFmt w:val="bullet"/>
      <w:lvlText w:val="•"/>
      <w:lvlJc w:val="left"/>
      <w:pPr>
        <w:ind w:left="6859" w:hanging="360"/>
      </w:pPr>
      <w:rPr>
        <w:rFonts w:hint="default"/>
        <w:lang w:val="pt-PT" w:eastAsia="pt-PT" w:bidi="pt-PT"/>
      </w:rPr>
    </w:lvl>
    <w:lvl w:ilvl="7">
      <w:start w:val="0"/>
      <w:numFmt w:val="bullet"/>
      <w:lvlText w:val="•"/>
      <w:lvlJc w:val="left"/>
      <w:pPr>
        <w:ind w:left="7786" w:hanging="360"/>
      </w:pPr>
      <w:rPr>
        <w:rFonts w:hint="default"/>
        <w:lang w:val="pt-PT" w:eastAsia="pt-PT" w:bidi="pt-PT"/>
      </w:rPr>
    </w:lvl>
    <w:lvl w:ilvl="8">
      <w:start w:val="0"/>
      <w:numFmt w:val="bullet"/>
      <w:lvlText w:val="•"/>
      <w:lvlJc w:val="left"/>
      <w:pPr>
        <w:ind w:left="8713" w:hanging="360"/>
      </w:pPr>
      <w:rPr>
        <w:rFonts w:hint="default"/>
        <w:lang w:val="pt-PT" w:eastAsia="pt-PT" w:bidi="pt-PT"/>
      </w:rPr>
    </w:lvl>
  </w:abstractNum>
  <w:abstractNum w:abstractNumId="3">
    <w:multiLevelType w:val="hybridMultilevel"/>
    <w:lvl w:ilvl="0">
      <w:start w:val="2"/>
      <w:numFmt w:val="decimal"/>
      <w:lvlText w:val="%1"/>
      <w:lvlJc w:val="left"/>
      <w:pPr>
        <w:ind w:left="1120" w:hanging="540"/>
        <w:jc w:val="left"/>
      </w:pPr>
      <w:rPr>
        <w:rFonts w:hint="default"/>
        <w:lang w:val="pt-PT" w:eastAsia="pt-PT" w:bidi="pt-PT"/>
      </w:rPr>
    </w:lvl>
    <w:lvl w:ilvl="1">
      <w:start w:val="2"/>
      <w:numFmt w:val="decimal"/>
      <w:lvlText w:val="%1.%2"/>
      <w:lvlJc w:val="left"/>
      <w:pPr>
        <w:ind w:left="1120" w:hanging="540"/>
        <w:jc w:val="left"/>
      </w:pPr>
      <w:rPr>
        <w:rFonts w:hint="default"/>
        <w:lang w:val="pt-PT" w:eastAsia="pt-PT" w:bidi="pt-PT"/>
      </w:rPr>
    </w:lvl>
    <w:lvl w:ilvl="2">
      <w:start w:val="1"/>
      <w:numFmt w:val="decimal"/>
      <w:lvlText w:val="%1.%2.%3"/>
      <w:lvlJc w:val="left"/>
      <w:pPr>
        <w:ind w:left="1120" w:hanging="540"/>
        <w:jc w:val="left"/>
      </w:pPr>
      <w:rPr>
        <w:rFonts w:hint="default"/>
        <w:spacing w:val="-4"/>
        <w:w w:val="99"/>
        <w:lang w:val="pt-PT" w:eastAsia="pt-PT" w:bidi="pt-PT"/>
      </w:rPr>
    </w:lvl>
    <w:lvl w:ilvl="3">
      <w:start w:val="0"/>
      <w:numFmt w:val="bullet"/>
      <w:lvlText w:val="•"/>
      <w:lvlJc w:val="left"/>
      <w:pPr>
        <w:ind w:left="3953" w:hanging="540"/>
      </w:pPr>
      <w:rPr>
        <w:rFonts w:hint="default"/>
        <w:lang w:val="pt-PT" w:eastAsia="pt-PT" w:bidi="pt-PT"/>
      </w:rPr>
    </w:lvl>
    <w:lvl w:ilvl="4">
      <w:start w:val="0"/>
      <w:numFmt w:val="bullet"/>
      <w:lvlText w:val="•"/>
      <w:lvlJc w:val="left"/>
      <w:pPr>
        <w:ind w:left="4898" w:hanging="540"/>
      </w:pPr>
      <w:rPr>
        <w:rFonts w:hint="default"/>
        <w:lang w:val="pt-PT" w:eastAsia="pt-PT" w:bidi="pt-PT"/>
      </w:rPr>
    </w:lvl>
    <w:lvl w:ilvl="5">
      <w:start w:val="0"/>
      <w:numFmt w:val="bullet"/>
      <w:lvlText w:val="•"/>
      <w:lvlJc w:val="left"/>
      <w:pPr>
        <w:ind w:left="5843" w:hanging="540"/>
      </w:pPr>
      <w:rPr>
        <w:rFonts w:hint="default"/>
        <w:lang w:val="pt-PT" w:eastAsia="pt-PT" w:bidi="pt-PT"/>
      </w:rPr>
    </w:lvl>
    <w:lvl w:ilvl="6">
      <w:start w:val="0"/>
      <w:numFmt w:val="bullet"/>
      <w:lvlText w:val="•"/>
      <w:lvlJc w:val="left"/>
      <w:pPr>
        <w:ind w:left="6787" w:hanging="540"/>
      </w:pPr>
      <w:rPr>
        <w:rFonts w:hint="default"/>
        <w:lang w:val="pt-PT" w:eastAsia="pt-PT" w:bidi="pt-PT"/>
      </w:rPr>
    </w:lvl>
    <w:lvl w:ilvl="7">
      <w:start w:val="0"/>
      <w:numFmt w:val="bullet"/>
      <w:lvlText w:val="•"/>
      <w:lvlJc w:val="left"/>
      <w:pPr>
        <w:ind w:left="7732" w:hanging="540"/>
      </w:pPr>
      <w:rPr>
        <w:rFonts w:hint="default"/>
        <w:lang w:val="pt-PT" w:eastAsia="pt-PT" w:bidi="pt-PT"/>
      </w:rPr>
    </w:lvl>
    <w:lvl w:ilvl="8">
      <w:start w:val="0"/>
      <w:numFmt w:val="bullet"/>
      <w:lvlText w:val="•"/>
      <w:lvlJc w:val="left"/>
      <w:pPr>
        <w:ind w:left="8677" w:hanging="540"/>
      </w:pPr>
      <w:rPr>
        <w:rFonts w:hint="default"/>
        <w:lang w:val="pt-PT" w:eastAsia="pt-PT" w:bidi="pt-PT"/>
      </w:rPr>
    </w:lvl>
  </w:abstractNum>
  <w:abstractNum w:abstractNumId="2">
    <w:multiLevelType w:val="hybridMultilevel"/>
    <w:lvl w:ilvl="0">
      <w:start w:val="1"/>
      <w:numFmt w:val="decimal"/>
      <w:lvlText w:val="%1."/>
      <w:lvlJc w:val="left"/>
      <w:pPr>
        <w:ind w:left="820" w:hanging="240"/>
        <w:jc w:val="left"/>
      </w:pPr>
      <w:rPr>
        <w:rFonts w:hint="default" w:ascii="Times New Roman" w:hAnsi="Times New Roman" w:eastAsia="Times New Roman" w:cs="Times New Roman"/>
        <w:b/>
        <w:bCs/>
        <w:color w:val="000009"/>
        <w:spacing w:val="-2"/>
        <w:w w:val="99"/>
        <w:sz w:val="24"/>
        <w:szCs w:val="24"/>
        <w:lang w:val="pt-PT" w:eastAsia="pt-PT" w:bidi="pt-PT"/>
      </w:rPr>
    </w:lvl>
    <w:lvl w:ilvl="1">
      <w:start w:val="0"/>
      <w:numFmt w:val="bullet"/>
      <w:lvlText w:val=""/>
      <w:lvlJc w:val="left"/>
      <w:pPr>
        <w:ind w:left="1300" w:hanging="360"/>
      </w:pPr>
      <w:rPr>
        <w:rFonts w:hint="default"/>
        <w:w w:val="100"/>
        <w:lang w:val="pt-PT" w:eastAsia="pt-PT" w:bidi="pt-PT"/>
      </w:rPr>
    </w:lvl>
    <w:lvl w:ilvl="2">
      <w:start w:val="0"/>
      <w:numFmt w:val="bullet"/>
      <w:lvlText w:val="•"/>
      <w:lvlJc w:val="left"/>
      <w:pPr>
        <w:ind w:left="1300" w:hanging="360"/>
      </w:pPr>
      <w:rPr>
        <w:rFonts w:hint="default"/>
        <w:lang w:val="pt-PT" w:eastAsia="pt-PT" w:bidi="pt-PT"/>
      </w:rPr>
    </w:lvl>
    <w:lvl w:ilvl="3">
      <w:start w:val="0"/>
      <w:numFmt w:val="bullet"/>
      <w:lvlText w:val="•"/>
      <w:lvlJc w:val="left"/>
      <w:pPr>
        <w:ind w:left="1480" w:hanging="360"/>
      </w:pPr>
      <w:rPr>
        <w:rFonts w:hint="default"/>
        <w:lang w:val="pt-PT" w:eastAsia="pt-PT" w:bidi="pt-PT"/>
      </w:rPr>
    </w:lvl>
    <w:lvl w:ilvl="4">
      <w:start w:val="0"/>
      <w:numFmt w:val="bullet"/>
      <w:lvlText w:val="•"/>
      <w:lvlJc w:val="left"/>
      <w:pPr>
        <w:ind w:left="2778" w:hanging="360"/>
      </w:pPr>
      <w:rPr>
        <w:rFonts w:hint="default"/>
        <w:lang w:val="pt-PT" w:eastAsia="pt-PT" w:bidi="pt-PT"/>
      </w:rPr>
    </w:lvl>
    <w:lvl w:ilvl="5">
      <w:start w:val="0"/>
      <w:numFmt w:val="bullet"/>
      <w:lvlText w:val="•"/>
      <w:lvlJc w:val="left"/>
      <w:pPr>
        <w:ind w:left="4076" w:hanging="360"/>
      </w:pPr>
      <w:rPr>
        <w:rFonts w:hint="default"/>
        <w:lang w:val="pt-PT" w:eastAsia="pt-PT" w:bidi="pt-PT"/>
      </w:rPr>
    </w:lvl>
    <w:lvl w:ilvl="6">
      <w:start w:val="0"/>
      <w:numFmt w:val="bullet"/>
      <w:lvlText w:val="•"/>
      <w:lvlJc w:val="left"/>
      <w:pPr>
        <w:ind w:left="5374" w:hanging="360"/>
      </w:pPr>
      <w:rPr>
        <w:rFonts w:hint="default"/>
        <w:lang w:val="pt-PT" w:eastAsia="pt-PT" w:bidi="pt-PT"/>
      </w:rPr>
    </w:lvl>
    <w:lvl w:ilvl="7">
      <w:start w:val="0"/>
      <w:numFmt w:val="bullet"/>
      <w:lvlText w:val="•"/>
      <w:lvlJc w:val="left"/>
      <w:pPr>
        <w:ind w:left="6672" w:hanging="360"/>
      </w:pPr>
      <w:rPr>
        <w:rFonts w:hint="default"/>
        <w:lang w:val="pt-PT" w:eastAsia="pt-PT" w:bidi="pt-PT"/>
      </w:rPr>
    </w:lvl>
    <w:lvl w:ilvl="8">
      <w:start w:val="0"/>
      <w:numFmt w:val="bullet"/>
      <w:lvlText w:val="•"/>
      <w:lvlJc w:val="left"/>
      <w:pPr>
        <w:ind w:left="7970" w:hanging="360"/>
      </w:pPr>
      <w:rPr>
        <w:rFonts w:hint="default"/>
        <w:lang w:val="pt-PT" w:eastAsia="pt-PT" w:bidi="pt-PT"/>
      </w:rPr>
    </w:lvl>
  </w:abstractNum>
  <w:abstractNum w:abstractNumId="1">
    <w:multiLevelType w:val="hybridMultilevel"/>
    <w:lvl w:ilvl="0">
      <w:start w:val="5"/>
      <w:numFmt w:val="decimal"/>
      <w:lvlText w:val="%1."/>
      <w:lvlJc w:val="left"/>
      <w:pPr>
        <w:ind w:left="761" w:hanging="181"/>
        <w:jc w:val="left"/>
      </w:pPr>
      <w:rPr>
        <w:rFonts w:hint="default" w:ascii="Times New Roman" w:hAnsi="Times New Roman" w:eastAsia="Times New Roman" w:cs="Times New Roman"/>
        <w:b/>
        <w:bCs/>
        <w:w w:val="100"/>
        <w:sz w:val="22"/>
        <w:szCs w:val="22"/>
        <w:lang w:val="pt-PT" w:eastAsia="pt-PT" w:bidi="pt-PT"/>
      </w:rPr>
    </w:lvl>
    <w:lvl w:ilvl="1">
      <w:start w:val="0"/>
      <w:numFmt w:val="bullet"/>
      <w:lvlText w:val="•"/>
      <w:lvlJc w:val="left"/>
      <w:pPr>
        <w:ind w:left="1740" w:hanging="181"/>
      </w:pPr>
      <w:rPr>
        <w:rFonts w:hint="default"/>
        <w:lang w:val="pt-PT" w:eastAsia="pt-PT" w:bidi="pt-PT"/>
      </w:rPr>
    </w:lvl>
    <w:lvl w:ilvl="2">
      <w:start w:val="0"/>
      <w:numFmt w:val="bullet"/>
      <w:lvlText w:val="•"/>
      <w:lvlJc w:val="left"/>
      <w:pPr>
        <w:ind w:left="2721" w:hanging="181"/>
      </w:pPr>
      <w:rPr>
        <w:rFonts w:hint="default"/>
        <w:lang w:val="pt-PT" w:eastAsia="pt-PT" w:bidi="pt-PT"/>
      </w:rPr>
    </w:lvl>
    <w:lvl w:ilvl="3">
      <w:start w:val="0"/>
      <w:numFmt w:val="bullet"/>
      <w:lvlText w:val="•"/>
      <w:lvlJc w:val="left"/>
      <w:pPr>
        <w:ind w:left="3701" w:hanging="181"/>
      </w:pPr>
      <w:rPr>
        <w:rFonts w:hint="default"/>
        <w:lang w:val="pt-PT" w:eastAsia="pt-PT" w:bidi="pt-PT"/>
      </w:rPr>
    </w:lvl>
    <w:lvl w:ilvl="4">
      <w:start w:val="0"/>
      <w:numFmt w:val="bullet"/>
      <w:lvlText w:val="•"/>
      <w:lvlJc w:val="left"/>
      <w:pPr>
        <w:ind w:left="4682" w:hanging="181"/>
      </w:pPr>
      <w:rPr>
        <w:rFonts w:hint="default"/>
        <w:lang w:val="pt-PT" w:eastAsia="pt-PT" w:bidi="pt-PT"/>
      </w:rPr>
    </w:lvl>
    <w:lvl w:ilvl="5">
      <w:start w:val="0"/>
      <w:numFmt w:val="bullet"/>
      <w:lvlText w:val="•"/>
      <w:lvlJc w:val="left"/>
      <w:pPr>
        <w:ind w:left="5663" w:hanging="181"/>
      </w:pPr>
      <w:rPr>
        <w:rFonts w:hint="default"/>
        <w:lang w:val="pt-PT" w:eastAsia="pt-PT" w:bidi="pt-PT"/>
      </w:rPr>
    </w:lvl>
    <w:lvl w:ilvl="6">
      <w:start w:val="0"/>
      <w:numFmt w:val="bullet"/>
      <w:lvlText w:val="•"/>
      <w:lvlJc w:val="left"/>
      <w:pPr>
        <w:ind w:left="6643" w:hanging="181"/>
      </w:pPr>
      <w:rPr>
        <w:rFonts w:hint="default"/>
        <w:lang w:val="pt-PT" w:eastAsia="pt-PT" w:bidi="pt-PT"/>
      </w:rPr>
    </w:lvl>
    <w:lvl w:ilvl="7">
      <w:start w:val="0"/>
      <w:numFmt w:val="bullet"/>
      <w:lvlText w:val="•"/>
      <w:lvlJc w:val="left"/>
      <w:pPr>
        <w:ind w:left="7624" w:hanging="181"/>
      </w:pPr>
      <w:rPr>
        <w:rFonts w:hint="default"/>
        <w:lang w:val="pt-PT" w:eastAsia="pt-PT" w:bidi="pt-PT"/>
      </w:rPr>
    </w:lvl>
    <w:lvl w:ilvl="8">
      <w:start w:val="0"/>
      <w:numFmt w:val="bullet"/>
      <w:lvlText w:val="•"/>
      <w:lvlJc w:val="left"/>
      <w:pPr>
        <w:ind w:left="8605" w:hanging="181"/>
      </w:pPr>
      <w:rPr>
        <w:rFonts w:hint="default"/>
        <w:lang w:val="pt-PT" w:eastAsia="pt-PT" w:bidi="pt-PT"/>
      </w:rPr>
    </w:lvl>
  </w:abstractNum>
  <w:abstractNum w:abstractNumId="0">
    <w:multiLevelType w:val="hybridMultilevel"/>
    <w:lvl w:ilvl="0">
      <w:start w:val="1"/>
      <w:numFmt w:val="decimal"/>
      <w:lvlText w:val="%1."/>
      <w:lvlJc w:val="left"/>
      <w:pPr>
        <w:ind w:left="820" w:hanging="240"/>
        <w:jc w:val="left"/>
      </w:pPr>
      <w:rPr>
        <w:rFonts w:hint="default" w:ascii="Times New Roman" w:hAnsi="Times New Roman" w:eastAsia="Times New Roman" w:cs="Times New Roman"/>
        <w:b/>
        <w:bCs/>
        <w:spacing w:val="-2"/>
        <w:w w:val="99"/>
        <w:sz w:val="24"/>
        <w:szCs w:val="24"/>
        <w:lang w:val="pt-PT" w:eastAsia="pt-PT" w:bidi="pt-PT"/>
      </w:rPr>
    </w:lvl>
    <w:lvl w:ilvl="1">
      <w:start w:val="0"/>
      <w:numFmt w:val="bullet"/>
      <w:lvlText w:val="•"/>
      <w:lvlJc w:val="left"/>
      <w:pPr>
        <w:ind w:left="1794" w:hanging="240"/>
      </w:pPr>
      <w:rPr>
        <w:rFonts w:hint="default"/>
        <w:lang w:val="pt-PT" w:eastAsia="pt-PT" w:bidi="pt-PT"/>
      </w:rPr>
    </w:lvl>
    <w:lvl w:ilvl="2">
      <w:start w:val="0"/>
      <w:numFmt w:val="bullet"/>
      <w:lvlText w:val="•"/>
      <w:lvlJc w:val="left"/>
      <w:pPr>
        <w:ind w:left="2769" w:hanging="240"/>
      </w:pPr>
      <w:rPr>
        <w:rFonts w:hint="default"/>
        <w:lang w:val="pt-PT" w:eastAsia="pt-PT" w:bidi="pt-PT"/>
      </w:rPr>
    </w:lvl>
    <w:lvl w:ilvl="3">
      <w:start w:val="0"/>
      <w:numFmt w:val="bullet"/>
      <w:lvlText w:val="•"/>
      <w:lvlJc w:val="left"/>
      <w:pPr>
        <w:ind w:left="3743" w:hanging="240"/>
      </w:pPr>
      <w:rPr>
        <w:rFonts w:hint="default"/>
        <w:lang w:val="pt-PT" w:eastAsia="pt-PT" w:bidi="pt-PT"/>
      </w:rPr>
    </w:lvl>
    <w:lvl w:ilvl="4">
      <w:start w:val="0"/>
      <w:numFmt w:val="bullet"/>
      <w:lvlText w:val="•"/>
      <w:lvlJc w:val="left"/>
      <w:pPr>
        <w:ind w:left="4718" w:hanging="240"/>
      </w:pPr>
      <w:rPr>
        <w:rFonts w:hint="default"/>
        <w:lang w:val="pt-PT" w:eastAsia="pt-PT" w:bidi="pt-PT"/>
      </w:rPr>
    </w:lvl>
    <w:lvl w:ilvl="5">
      <w:start w:val="0"/>
      <w:numFmt w:val="bullet"/>
      <w:lvlText w:val="•"/>
      <w:lvlJc w:val="left"/>
      <w:pPr>
        <w:ind w:left="5693" w:hanging="240"/>
      </w:pPr>
      <w:rPr>
        <w:rFonts w:hint="default"/>
        <w:lang w:val="pt-PT" w:eastAsia="pt-PT" w:bidi="pt-PT"/>
      </w:rPr>
    </w:lvl>
    <w:lvl w:ilvl="6">
      <w:start w:val="0"/>
      <w:numFmt w:val="bullet"/>
      <w:lvlText w:val="•"/>
      <w:lvlJc w:val="left"/>
      <w:pPr>
        <w:ind w:left="6667" w:hanging="240"/>
      </w:pPr>
      <w:rPr>
        <w:rFonts w:hint="default"/>
        <w:lang w:val="pt-PT" w:eastAsia="pt-PT" w:bidi="pt-PT"/>
      </w:rPr>
    </w:lvl>
    <w:lvl w:ilvl="7">
      <w:start w:val="0"/>
      <w:numFmt w:val="bullet"/>
      <w:lvlText w:val="•"/>
      <w:lvlJc w:val="left"/>
      <w:pPr>
        <w:ind w:left="7642" w:hanging="240"/>
      </w:pPr>
      <w:rPr>
        <w:rFonts w:hint="default"/>
        <w:lang w:val="pt-PT" w:eastAsia="pt-PT" w:bidi="pt-PT"/>
      </w:rPr>
    </w:lvl>
    <w:lvl w:ilvl="8">
      <w:start w:val="0"/>
      <w:numFmt w:val="bullet"/>
      <w:lvlText w:val="•"/>
      <w:lvlJc w:val="left"/>
      <w:pPr>
        <w:ind w:left="8617" w:hanging="240"/>
      </w:pPr>
      <w:rPr>
        <w:rFonts w:hint="default"/>
        <w:lang w:val="pt-PT" w:eastAsia="pt-PT" w:bidi="pt-P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TOC1" w:type="paragraph">
    <w:name w:val="TOC 1"/>
    <w:basedOn w:val="Normal"/>
    <w:uiPriority w:val="1"/>
    <w:qFormat/>
    <w:pPr>
      <w:spacing w:before="142"/>
      <w:ind w:left="820" w:hanging="241"/>
    </w:pPr>
    <w:rPr>
      <w:rFonts w:ascii="Times New Roman" w:hAnsi="Times New Roman" w:eastAsia="Times New Roman" w:cs="Times New Roman"/>
      <w:b/>
      <w:bCs/>
      <w:sz w:val="24"/>
      <w:szCs w:val="24"/>
      <w:lang w:val="pt-PT" w:eastAsia="pt-PT" w:bidi="pt-PT"/>
    </w:rPr>
  </w:style>
  <w:style w:styleId="TOC2" w:type="paragraph">
    <w:name w:val="TOC 2"/>
    <w:basedOn w:val="Normal"/>
    <w:uiPriority w:val="1"/>
    <w:qFormat/>
    <w:pPr>
      <w:spacing w:before="19"/>
      <w:ind w:left="580"/>
    </w:pPr>
    <w:rPr>
      <w:rFonts w:ascii="Times New Roman" w:hAnsi="Times New Roman" w:eastAsia="Times New Roman" w:cs="Times New Roman"/>
      <w:sz w:val="24"/>
      <w:szCs w:val="24"/>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580"/>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1300" w:hanging="360"/>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ind w:left="69"/>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http://www.planejamento.gov.br/secretarias/upload/arquivo/governo-aberto/copy_of_manual_elaboracao_plano_dados_abertos.pdf" TargetMode="External"/><Relationship Id="rId9" Type="http://schemas.openxmlformats.org/officeDocument/2006/relationships/hyperlink" Target="http://dados.gov.br/cartilha-publicacao-dados-abertos/" TargetMode="External"/><Relationship Id="rId10" Type="http://schemas.openxmlformats.org/officeDocument/2006/relationships/hyperlink" Target="http://www.planalto.gov.br/ccivil_03/_Ato2011-2014/2012/Decreto/D7724.htm" TargetMode="External"/><Relationship Id="rId11" Type="http://schemas.openxmlformats.org/officeDocument/2006/relationships/hyperlink" Target="http://www.planalto.gov.br/ccivil_03/_Ato2011-2014/2011/Lei/L12527.htm" TargetMode="External"/><Relationship Id="rId12" Type="http://schemas.openxmlformats.org/officeDocument/2006/relationships/hyperlink" Target="http://download.inep.gov.br/institucional/legislacao/2016/portaria_n370.pdf" TargetMode="External"/><Relationship Id="rId13" Type="http://schemas.openxmlformats.org/officeDocument/2006/relationships/hyperlink" Target="http://arquivos.info.ufrn.br/arquivos/2016159058e5083573876aedd4458839c/Plano_PDA_7out2016.pdf" TargetMode="External"/><Relationship Id="rId14" Type="http://schemas.openxmlformats.org/officeDocument/2006/relationships/hyperlink" Target="http://www.proplan.ufrpe.br/sites/www.proplan.ufrpe.br/files/pdi_ufrpe_2013-2020.pdf" TargetMode="External"/><Relationship Id="rId15" Type="http://schemas.openxmlformats.org/officeDocument/2006/relationships/hyperlink" Target="http://www.pdti.ufrpe.br/sites/www.pdti.ufrpe.br/files/pdti_2016.pdf" TargetMode="External"/><Relationship Id="rId16" Type="http://schemas.openxmlformats.org/officeDocument/2006/relationships/hyperlink" Target="http://dados.ufrn.br/"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Kellyton</dc:creator>
  <dcterms:created xsi:type="dcterms:W3CDTF">2020-12-18T15:50:40Z</dcterms:created>
  <dcterms:modified xsi:type="dcterms:W3CDTF">2020-12-18T15:50:40Z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Office Word 2007</vt:lpwstr>
  </property>
  <property fmtid="{D5CDD505-2E9C-101B-9397-08002B2CF9AE}" pid="4" name="LastSaved">
    <vt:filetime>2020-12-18T00:00:00Z</vt:filetime>
  </property>
</Properties>
</file>